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F25" w:rsidRPr="00FE6CB4" w:rsidRDefault="006815DA" w:rsidP="00FE6CB4">
      <w:pPr>
        <w:autoSpaceDE/>
        <w:autoSpaceDN/>
        <w:adjustRightInd/>
        <w:ind w:firstLine="720"/>
        <w:jc w:val="both"/>
        <w:rPr>
          <w:rFonts w:asciiTheme="majorHAnsi" w:eastAsia="Times New Roman" w:hAnsiTheme="majorHAnsi"/>
          <w:color w:val="auto"/>
          <w:sz w:val="24"/>
          <w:szCs w:val="24"/>
          <w:lang w:val="sr-Latn-CS"/>
        </w:rPr>
      </w:pPr>
      <w:r w:rsidRPr="00FE6CB4">
        <w:rPr>
          <w:rFonts w:asciiTheme="majorHAnsi" w:eastAsia="Times New Roman" w:hAnsiTheme="majorHAnsi"/>
          <w:color w:val="auto"/>
          <w:sz w:val="24"/>
          <w:szCs w:val="24"/>
        </w:rPr>
        <w:t>Na osnovu člana 23 stav 13 Zakona o legalizaciji bespravnih objekata ("Službeni list Crne Gore", br. 91/25), člana 38 tačka 2 i 8 Zakona o lokalnoj samoupravi ("Službeni list Crne Gore", br. 2/18, 34/19, 38/20, 50/22, 84/22, 81/25 i 98/25)</w:t>
      </w:r>
      <w:r w:rsidR="00D97F71" w:rsidRPr="00FE6CB4">
        <w:rPr>
          <w:rFonts w:asciiTheme="majorHAnsi" w:eastAsia="Times New Roman" w:hAnsiTheme="majorHAnsi"/>
          <w:color w:val="auto"/>
          <w:sz w:val="24"/>
          <w:szCs w:val="24"/>
          <w:lang w:val="sr-Latn-CS"/>
        </w:rPr>
        <w:t xml:space="preserve"> i člаnа 54 stav 1 tačka 2 i 11 Stаtutа Glavnog grada („Službeni list C</w:t>
      </w:r>
      <w:r w:rsidRPr="00FE6CB4">
        <w:rPr>
          <w:rFonts w:asciiTheme="majorHAnsi" w:eastAsia="Times New Roman" w:hAnsiTheme="majorHAnsi"/>
          <w:color w:val="auto"/>
          <w:sz w:val="24"/>
          <w:szCs w:val="24"/>
          <w:lang w:val="sr-Latn-CS"/>
        </w:rPr>
        <w:t xml:space="preserve">rne </w:t>
      </w:r>
      <w:r w:rsidR="00D97F71" w:rsidRPr="00FE6CB4">
        <w:rPr>
          <w:rFonts w:asciiTheme="majorHAnsi" w:eastAsia="Times New Roman" w:hAnsiTheme="majorHAnsi"/>
          <w:color w:val="auto"/>
          <w:sz w:val="24"/>
          <w:szCs w:val="24"/>
          <w:lang w:val="sr-Latn-CS"/>
        </w:rPr>
        <w:t>G</w:t>
      </w:r>
      <w:r w:rsidRPr="00FE6CB4">
        <w:rPr>
          <w:rFonts w:asciiTheme="majorHAnsi" w:eastAsia="Times New Roman" w:hAnsiTheme="majorHAnsi"/>
          <w:color w:val="auto"/>
          <w:sz w:val="24"/>
          <w:szCs w:val="24"/>
          <w:lang w:val="sr-Latn-CS"/>
        </w:rPr>
        <w:t>ore</w:t>
      </w:r>
      <w:r w:rsidR="00D97F71" w:rsidRPr="00FE6CB4">
        <w:rPr>
          <w:rFonts w:asciiTheme="majorHAnsi" w:eastAsia="Times New Roman" w:hAnsiTheme="majorHAnsi"/>
          <w:color w:val="auto"/>
          <w:sz w:val="24"/>
          <w:szCs w:val="24"/>
          <w:lang w:val="sr-Latn-CS"/>
        </w:rPr>
        <w:t xml:space="preserve"> – opštinski propisi“, br</w:t>
      </w:r>
      <w:r w:rsidRPr="00FE6CB4">
        <w:rPr>
          <w:rFonts w:asciiTheme="majorHAnsi" w:eastAsia="Times New Roman" w:hAnsiTheme="majorHAnsi"/>
          <w:color w:val="auto"/>
          <w:sz w:val="24"/>
          <w:szCs w:val="24"/>
          <w:lang w:val="sr-Latn-CS"/>
        </w:rPr>
        <w:t>.</w:t>
      </w:r>
      <w:r w:rsidR="00D97F71" w:rsidRPr="00FE6CB4">
        <w:rPr>
          <w:rFonts w:asciiTheme="majorHAnsi" w:eastAsia="Times New Roman" w:hAnsiTheme="majorHAnsi"/>
          <w:color w:val="auto"/>
          <w:sz w:val="24"/>
          <w:szCs w:val="24"/>
          <w:lang w:val="sr-Latn-CS"/>
        </w:rPr>
        <w:t xml:space="preserve"> 8/19</w:t>
      </w:r>
      <w:r w:rsidRPr="00FE6CB4">
        <w:rPr>
          <w:rFonts w:asciiTheme="majorHAnsi" w:eastAsia="Times New Roman" w:hAnsiTheme="majorHAnsi"/>
          <w:color w:val="auto"/>
          <w:sz w:val="24"/>
          <w:szCs w:val="24"/>
          <w:lang w:val="sr-Latn-CS"/>
        </w:rPr>
        <w:t>, 20/21, 49/22 i 51/25</w:t>
      </w:r>
      <w:r w:rsidR="00D97F71" w:rsidRPr="00FE6CB4">
        <w:rPr>
          <w:rFonts w:asciiTheme="majorHAnsi" w:eastAsia="Times New Roman" w:hAnsiTheme="majorHAnsi"/>
          <w:color w:val="auto"/>
          <w:sz w:val="24"/>
          <w:szCs w:val="24"/>
          <w:lang w:val="sr-Latn-CS"/>
        </w:rPr>
        <w:t>), uz prethodnu saglasnost Vlade broj ____________ od _________, Skupštinа Glavnog grada Podgorice, nа sјеdnici оdržаnој ___________ 202</w:t>
      </w:r>
      <w:r w:rsidRPr="00FE6CB4">
        <w:rPr>
          <w:rFonts w:asciiTheme="majorHAnsi" w:eastAsia="Times New Roman" w:hAnsiTheme="majorHAnsi"/>
          <w:color w:val="auto"/>
          <w:sz w:val="24"/>
          <w:szCs w:val="24"/>
          <w:lang w:val="sr-Latn-CS"/>
        </w:rPr>
        <w:t>6</w:t>
      </w:r>
      <w:r w:rsidR="00D97F71" w:rsidRPr="00FE6CB4">
        <w:rPr>
          <w:rFonts w:asciiTheme="majorHAnsi" w:eastAsia="Times New Roman" w:hAnsiTheme="majorHAnsi"/>
          <w:color w:val="auto"/>
          <w:sz w:val="24"/>
          <w:szCs w:val="24"/>
          <w:lang w:val="sr-Latn-CS"/>
        </w:rPr>
        <w:t>. gоdinе, dоniјеlа je</w:t>
      </w:r>
    </w:p>
    <w:p w:rsidR="00594F14" w:rsidRPr="00FE6CB4" w:rsidRDefault="00594F14" w:rsidP="00FE6CB4">
      <w:pPr>
        <w:autoSpaceDE/>
        <w:autoSpaceDN/>
        <w:adjustRightInd/>
        <w:jc w:val="both"/>
        <w:rPr>
          <w:rFonts w:asciiTheme="majorHAnsi" w:eastAsia="Times New Roman" w:hAnsiTheme="majorHAnsi"/>
          <w:color w:val="auto"/>
          <w:sz w:val="24"/>
          <w:szCs w:val="24"/>
          <w:lang w:val="sr-Latn-CS"/>
        </w:rPr>
      </w:pPr>
    </w:p>
    <w:p w:rsidR="00A14F25" w:rsidRPr="00FE6CB4" w:rsidRDefault="00A14F25" w:rsidP="00FE6CB4">
      <w:pPr>
        <w:pStyle w:val="N03Y"/>
        <w:spacing w:before="0" w:after="0"/>
        <w:rPr>
          <w:rFonts w:asciiTheme="majorHAnsi" w:hAnsiTheme="majorHAnsi" w:cs="Tahoma"/>
          <w:sz w:val="24"/>
          <w:szCs w:val="24"/>
        </w:rPr>
      </w:pPr>
      <w:r w:rsidRPr="00FE6CB4">
        <w:rPr>
          <w:rFonts w:asciiTheme="majorHAnsi" w:hAnsiTheme="majorHAnsi" w:cs="Tahoma"/>
          <w:sz w:val="24"/>
          <w:szCs w:val="24"/>
        </w:rPr>
        <w:t>ODLUKU</w:t>
      </w:r>
    </w:p>
    <w:p w:rsidR="00A14F25" w:rsidRPr="00FE6CB4" w:rsidRDefault="00A14F25" w:rsidP="00FE6CB4">
      <w:pPr>
        <w:pStyle w:val="N03Y"/>
        <w:spacing w:before="0" w:after="0"/>
        <w:rPr>
          <w:rFonts w:asciiTheme="majorHAnsi" w:hAnsiTheme="majorHAnsi" w:cs="Tahoma"/>
          <w:sz w:val="24"/>
          <w:szCs w:val="24"/>
        </w:rPr>
      </w:pPr>
      <w:proofErr w:type="gramStart"/>
      <w:r w:rsidRPr="00FE6CB4">
        <w:rPr>
          <w:rFonts w:asciiTheme="majorHAnsi" w:hAnsiTheme="majorHAnsi" w:cs="Tahoma"/>
          <w:sz w:val="24"/>
          <w:szCs w:val="24"/>
        </w:rPr>
        <w:t>o</w:t>
      </w:r>
      <w:proofErr w:type="gramEnd"/>
      <w:r w:rsidRPr="00FE6CB4">
        <w:rPr>
          <w:rFonts w:asciiTheme="majorHAnsi" w:hAnsiTheme="majorHAnsi" w:cs="Tahoma"/>
          <w:sz w:val="24"/>
          <w:szCs w:val="24"/>
        </w:rPr>
        <w:t xml:space="preserve"> naknadi za </w:t>
      </w:r>
      <w:r w:rsidR="00D97F71" w:rsidRPr="00FE6CB4">
        <w:rPr>
          <w:rFonts w:asciiTheme="majorHAnsi" w:hAnsiTheme="majorHAnsi" w:cs="Tahoma"/>
          <w:sz w:val="24"/>
          <w:szCs w:val="24"/>
        </w:rPr>
        <w:t>urbanu sanaciju</w:t>
      </w:r>
    </w:p>
    <w:p w:rsidR="00F5014C" w:rsidRPr="00FE6CB4" w:rsidRDefault="00F5014C" w:rsidP="00FE6CB4">
      <w:pPr>
        <w:pStyle w:val="N05Y"/>
        <w:spacing w:before="0" w:after="0"/>
        <w:jc w:val="left"/>
        <w:rPr>
          <w:rFonts w:asciiTheme="majorHAnsi" w:hAnsiTheme="majorHAnsi" w:cs="Tahoma"/>
        </w:rPr>
      </w:pPr>
    </w:p>
    <w:p w:rsidR="00A14F25" w:rsidRPr="00FE6CB4" w:rsidRDefault="00A14F25" w:rsidP="00FE6CB4">
      <w:pPr>
        <w:pStyle w:val="N05Y"/>
        <w:spacing w:before="0" w:after="0"/>
        <w:rPr>
          <w:rFonts w:asciiTheme="majorHAnsi" w:hAnsiTheme="majorHAnsi" w:cs="Tahoma"/>
        </w:rPr>
      </w:pPr>
      <w:r w:rsidRPr="00FE6CB4">
        <w:rPr>
          <w:rFonts w:asciiTheme="majorHAnsi" w:hAnsiTheme="majorHAnsi" w:cs="Tahoma"/>
        </w:rPr>
        <w:t>I OSNOVNE ODREDBE</w:t>
      </w:r>
    </w:p>
    <w:p w:rsidR="00A14F25" w:rsidRPr="00FE6CB4" w:rsidRDefault="00A14F25" w:rsidP="00FE6CB4">
      <w:pPr>
        <w:pStyle w:val="C30X"/>
        <w:spacing w:before="0" w:after="0"/>
        <w:rPr>
          <w:rFonts w:asciiTheme="majorHAnsi" w:hAnsiTheme="majorHAnsi" w:cs="Tahoma"/>
        </w:rPr>
      </w:pPr>
    </w:p>
    <w:p w:rsidR="00CE1D97" w:rsidRPr="00FE6CB4" w:rsidRDefault="00A14F25" w:rsidP="00FE6CB4">
      <w:pPr>
        <w:pStyle w:val="C30X"/>
        <w:spacing w:before="0" w:after="0"/>
        <w:rPr>
          <w:rFonts w:asciiTheme="majorHAnsi" w:hAnsiTheme="majorHAnsi" w:cs="Tahoma"/>
        </w:rPr>
      </w:pPr>
      <w:r w:rsidRPr="00FE6CB4">
        <w:rPr>
          <w:rFonts w:asciiTheme="majorHAnsi" w:hAnsiTheme="majorHAnsi" w:cs="Tahoma"/>
        </w:rPr>
        <w:t>Član 1</w:t>
      </w:r>
    </w:p>
    <w:p w:rsidR="006815DA" w:rsidRPr="00FE6CB4" w:rsidRDefault="006815DA" w:rsidP="00FE6CB4">
      <w:pPr>
        <w:pStyle w:val="T30X"/>
        <w:spacing w:before="0" w:after="0"/>
        <w:ind w:firstLine="720"/>
        <w:rPr>
          <w:rFonts w:asciiTheme="majorHAnsi" w:hAnsiTheme="majorHAnsi" w:cs="Tahoma"/>
          <w:sz w:val="24"/>
          <w:szCs w:val="24"/>
        </w:rPr>
      </w:pPr>
      <w:r w:rsidRPr="00FE6CB4">
        <w:rPr>
          <w:rFonts w:asciiTheme="majorHAnsi" w:hAnsiTheme="majorHAnsi" w:cs="Tahoma"/>
          <w:sz w:val="24"/>
          <w:szCs w:val="24"/>
        </w:rPr>
        <w:t>Ovom odlukom propisuju se bliži uslovi, visina, način i rokovi plaćanja naknade za urbanu sanaciju (u daljem tekstu: naknada).</w:t>
      </w:r>
    </w:p>
    <w:p w:rsidR="000B201E" w:rsidRPr="00FE6CB4" w:rsidRDefault="000B201E" w:rsidP="00FE6CB4">
      <w:pPr>
        <w:pStyle w:val="T30X"/>
        <w:spacing w:before="0" w:after="0"/>
        <w:ind w:firstLine="720"/>
        <w:rPr>
          <w:rFonts w:asciiTheme="majorHAnsi" w:hAnsiTheme="majorHAnsi" w:cs="Tahoma"/>
          <w:sz w:val="24"/>
          <w:szCs w:val="24"/>
        </w:rPr>
      </w:pPr>
    </w:p>
    <w:p w:rsidR="000B201E" w:rsidRPr="00FE6CB4" w:rsidRDefault="000B201E" w:rsidP="00FE6CB4">
      <w:pPr>
        <w:pStyle w:val="T30X"/>
        <w:spacing w:before="0" w:after="0"/>
        <w:ind w:firstLine="0"/>
        <w:jc w:val="center"/>
        <w:rPr>
          <w:rFonts w:asciiTheme="majorHAnsi" w:hAnsiTheme="majorHAnsi" w:cs="Tahoma"/>
          <w:b/>
          <w:sz w:val="24"/>
          <w:szCs w:val="24"/>
        </w:rPr>
      </w:pPr>
      <w:r w:rsidRPr="00FE6CB4">
        <w:rPr>
          <w:rFonts w:asciiTheme="majorHAnsi" w:hAnsiTheme="majorHAnsi" w:cs="Tahoma"/>
          <w:b/>
          <w:sz w:val="24"/>
          <w:szCs w:val="24"/>
        </w:rPr>
        <w:t>RODNA SENZITIVNOST</w:t>
      </w:r>
    </w:p>
    <w:p w:rsidR="00627438" w:rsidRPr="00FE6CB4" w:rsidRDefault="00627438" w:rsidP="00FE6CB4">
      <w:pPr>
        <w:pStyle w:val="C30X"/>
        <w:spacing w:before="0" w:after="0"/>
        <w:rPr>
          <w:rFonts w:asciiTheme="majorHAnsi" w:hAnsiTheme="majorHAnsi" w:cs="Tahoma"/>
        </w:rPr>
      </w:pPr>
    </w:p>
    <w:p w:rsidR="000B201E" w:rsidRPr="00FE6CB4" w:rsidRDefault="00A14F25" w:rsidP="00FE6CB4">
      <w:pPr>
        <w:pStyle w:val="C30X"/>
        <w:spacing w:before="0" w:after="0"/>
        <w:rPr>
          <w:rFonts w:asciiTheme="majorHAnsi" w:hAnsiTheme="majorHAnsi" w:cs="Tahoma"/>
        </w:rPr>
      </w:pPr>
      <w:r w:rsidRPr="00FE6CB4">
        <w:rPr>
          <w:rFonts w:asciiTheme="majorHAnsi" w:hAnsiTheme="majorHAnsi" w:cs="Tahoma"/>
        </w:rPr>
        <w:t>Član 2</w:t>
      </w:r>
    </w:p>
    <w:p w:rsidR="000B201E" w:rsidRPr="00FE6CB4" w:rsidRDefault="000B201E" w:rsidP="00FE6CB4">
      <w:pPr>
        <w:pStyle w:val="C30X"/>
        <w:spacing w:before="0" w:after="0"/>
        <w:ind w:firstLine="720"/>
        <w:jc w:val="both"/>
        <w:rPr>
          <w:rFonts w:asciiTheme="majorHAnsi" w:hAnsiTheme="majorHAnsi" w:cs="Tahoma"/>
          <w:b w:val="0"/>
        </w:rPr>
      </w:pPr>
      <w:proofErr w:type="gramStart"/>
      <w:r w:rsidRPr="00FE6CB4">
        <w:rPr>
          <w:rFonts w:asciiTheme="majorHAnsi" w:hAnsiTheme="majorHAnsi" w:cs="Tahoma"/>
          <w:b w:val="0"/>
        </w:rPr>
        <w:t>Izrazi koji se u ovoj odluci koriste za fizička lica u muškom rodu podrazumijevaju iste izraze u ženskom rodu.</w:t>
      </w:r>
      <w:proofErr w:type="gramEnd"/>
    </w:p>
    <w:p w:rsidR="00A14F25" w:rsidRPr="00FE6CB4" w:rsidRDefault="00A14F25" w:rsidP="00FE6CB4">
      <w:pPr>
        <w:pStyle w:val="C30X"/>
        <w:spacing w:before="0" w:after="0"/>
        <w:rPr>
          <w:rFonts w:asciiTheme="majorHAnsi" w:hAnsiTheme="majorHAnsi" w:cs="Tahoma"/>
        </w:rPr>
      </w:pPr>
    </w:p>
    <w:p w:rsidR="00A14F25" w:rsidRPr="00FE6CB4" w:rsidRDefault="00A14F25" w:rsidP="00FE6CB4">
      <w:pPr>
        <w:pStyle w:val="N01X"/>
        <w:spacing w:before="0" w:after="0"/>
        <w:rPr>
          <w:rFonts w:asciiTheme="majorHAnsi" w:hAnsiTheme="majorHAnsi" w:cs="Tahoma"/>
        </w:rPr>
      </w:pPr>
      <w:r w:rsidRPr="00FE6CB4">
        <w:rPr>
          <w:rFonts w:asciiTheme="majorHAnsi" w:hAnsiTheme="majorHAnsi" w:cs="Tahoma"/>
        </w:rPr>
        <w:t xml:space="preserve">II </w:t>
      </w:r>
      <w:r w:rsidR="006815DA" w:rsidRPr="00FE6CB4">
        <w:rPr>
          <w:rFonts w:asciiTheme="majorHAnsi" w:hAnsiTheme="majorHAnsi" w:cs="Tahoma"/>
        </w:rPr>
        <w:t xml:space="preserve">BLIŽI </w:t>
      </w:r>
      <w:r w:rsidRPr="00FE6CB4">
        <w:rPr>
          <w:rFonts w:asciiTheme="majorHAnsi" w:hAnsiTheme="majorHAnsi" w:cs="Tahoma"/>
        </w:rPr>
        <w:t>USLOVI</w:t>
      </w:r>
      <w:r w:rsidR="000B201E" w:rsidRPr="00FE6CB4">
        <w:rPr>
          <w:rFonts w:asciiTheme="majorHAnsi" w:hAnsiTheme="majorHAnsi" w:cs="Tahoma"/>
        </w:rPr>
        <w:t xml:space="preserve"> I VISINA</w:t>
      </w:r>
      <w:r w:rsidR="006815DA" w:rsidRPr="00FE6CB4">
        <w:rPr>
          <w:rFonts w:asciiTheme="majorHAnsi" w:hAnsiTheme="majorHAnsi" w:cs="Tahoma"/>
        </w:rPr>
        <w:t xml:space="preserve"> NAKNADE</w:t>
      </w:r>
    </w:p>
    <w:p w:rsidR="00CE1D97" w:rsidRPr="00FE6CB4" w:rsidRDefault="00CE1D97" w:rsidP="00FE6CB4">
      <w:pPr>
        <w:pStyle w:val="N01X"/>
        <w:spacing w:before="0" w:after="0"/>
        <w:rPr>
          <w:rFonts w:asciiTheme="majorHAnsi" w:hAnsiTheme="majorHAnsi" w:cs="Tahoma"/>
        </w:rPr>
      </w:pPr>
    </w:p>
    <w:p w:rsidR="00A14F25" w:rsidRPr="00FE6CB4" w:rsidRDefault="00A14F25" w:rsidP="00FE6CB4">
      <w:pPr>
        <w:pStyle w:val="C30X"/>
        <w:spacing w:before="0" w:after="0"/>
        <w:rPr>
          <w:rFonts w:asciiTheme="majorHAnsi" w:hAnsiTheme="majorHAnsi" w:cs="Tahoma"/>
        </w:rPr>
      </w:pPr>
      <w:r w:rsidRPr="00FE6CB4">
        <w:rPr>
          <w:rFonts w:asciiTheme="majorHAnsi" w:hAnsiTheme="majorHAnsi" w:cs="Tahoma"/>
        </w:rPr>
        <w:t>Član 3</w:t>
      </w:r>
    </w:p>
    <w:p w:rsidR="00832622" w:rsidRPr="00FE6CB4" w:rsidRDefault="00A14F25" w:rsidP="00FE6CB4">
      <w:pPr>
        <w:pStyle w:val="T30X"/>
        <w:spacing w:before="0" w:after="0"/>
        <w:ind w:firstLine="720"/>
        <w:rPr>
          <w:rFonts w:asciiTheme="majorHAnsi" w:hAnsiTheme="majorHAnsi" w:cs="Tahoma"/>
          <w:sz w:val="24"/>
          <w:szCs w:val="24"/>
        </w:rPr>
      </w:pPr>
      <w:proofErr w:type="gramStart"/>
      <w:r w:rsidRPr="00FE6CB4">
        <w:rPr>
          <w:rFonts w:asciiTheme="majorHAnsi" w:hAnsiTheme="majorHAnsi" w:cs="Tahoma"/>
          <w:sz w:val="24"/>
          <w:szCs w:val="24"/>
        </w:rPr>
        <w:t xml:space="preserve">Naknadu plaća </w:t>
      </w:r>
      <w:r w:rsidR="009D0391" w:rsidRPr="00FE6CB4">
        <w:rPr>
          <w:rFonts w:asciiTheme="majorHAnsi" w:hAnsiTheme="majorHAnsi" w:cs="Tahoma"/>
          <w:sz w:val="24"/>
          <w:szCs w:val="24"/>
        </w:rPr>
        <w:t>vlasnik bespravnog objekta</w:t>
      </w:r>
      <w:r w:rsidRPr="00FE6CB4">
        <w:rPr>
          <w:rFonts w:asciiTheme="majorHAnsi" w:hAnsiTheme="majorHAnsi" w:cs="Tahoma"/>
          <w:sz w:val="24"/>
          <w:szCs w:val="24"/>
        </w:rPr>
        <w:t>.</w:t>
      </w:r>
      <w:proofErr w:type="gramEnd"/>
    </w:p>
    <w:p w:rsidR="00FE63C0" w:rsidRPr="00FE6CB4" w:rsidRDefault="00A14F25" w:rsidP="00FE6CB4">
      <w:pPr>
        <w:pStyle w:val="T30X"/>
        <w:spacing w:before="0" w:after="0"/>
        <w:ind w:firstLine="720"/>
        <w:rPr>
          <w:rFonts w:asciiTheme="majorHAnsi" w:hAnsiTheme="majorHAnsi" w:cs="Tahoma"/>
          <w:color w:val="auto"/>
          <w:sz w:val="24"/>
          <w:szCs w:val="24"/>
        </w:rPr>
      </w:pPr>
      <w:r w:rsidRPr="00FE6CB4">
        <w:rPr>
          <w:rFonts w:asciiTheme="majorHAnsi" w:hAnsiTheme="majorHAnsi" w:cs="Tahoma"/>
          <w:color w:val="auto"/>
          <w:sz w:val="24"/>
          <w:szCs w:val="24"/>
        </w:rPr>
        <w:t xml:space="preserve">Naknada se obračunava </w:t>
      </w:r>
      <w:r w:rsidR="003C33B7" w:rsidRPr="00FE6CB4">
        <w:rPr>
          <w:rFonts w:asciiTheme="majorHAnsi" w:hAnsiTheme="majorHAnsi" w:cs="Tahoma"/>
          <w:color w:val="auto"/>
          <w:sz w:val="24"/>
          <w:szCs w:val="24"/>
        </w:rPr>
        <w:t xml:space="preserve">po m2 neto površine bespravnog objekta </w:t>
      </w:r>
      <w:proofErr w:type="gramStart"/>
      <w:r w:rsidRPr="00FE6CB4">
        <w:rPr>
          <w:rFonts w:asciiTheme="majorHAnsi" w:hAnsiTheme="majorHAnsi" w:cs="Tahoma"/>
          <w:color w:val="auto"/>
          <w:sz w:val="24"/>
          <w:szCs w:val="24"/>
        </w:rPr>
        <w:t>na</w:t>
      </w:r>
      <w:proofErr w:type="gramEnd"/>
      <w:r w:rsidRPr="00FE6CB4">
        <w:rPr>
          <w:rFonts w:asciiTheme="majorHAnsi" w:hAnsiTheme="majorHAnsi" w:cs="Tahoma"/>
          <w:color w:val="auto"/>
          <w:sz w:val="24"/>
          <w:szCs w:val="24"/>
        </w:rPr>
        <w:t xml:space="preserve"> osnovu</w:t>
      </w:r>
      <w:r w:rsidR="002B254F" w:rsidRPr="00FE6CB4">
        <w:rPr>
          <w:rFonts w:asciiTheme="majorHAnsi" w:hAnsiTheme="majorHAnsi" w:cs="Tahoma"/>
          <w:color w:val="auto"/>
          <w:sz w:val="24"/>
          <w:szCs w:val="24"/>
        </w:rPr>
        <w:t xml:space="preserve"> Elaborata</w:t>
      </w:r>
      <w:r w:rsidR="009D5B2E" w:rsidRPr="00FE6CB4">
        <w:rPr>
          <w:rFonts w:asciiTheme="majorHAnsi" w:hAnsiTheme="majorHAnsi" w:cs="Tahoma"/>
          <w:color w:val="auto"/>
          <w:sz w:val="24"/>
          <w:szCs w:val="24"/>
        </w:rPr>
        <w:t xml:space="preserve"> </w:t>
      </w:r>
      <w:r w:rsidR="002B254F" w:rsidRPr="00FE6CB4">
        <w:rPr>
          <w:rFonts w:asciiTheme="majorHAnsi" w:hAnsiTheme="majorHAnsi" w:cs="Tahoma"/>
          <w:color w:val="auto"/>
          <w:sz w:val="24"/>
          <w:szCs w:val="24"/>
        </w:rPr>
        <w:t>premjera</w:t>
      </w:r>
      <w:r w:rsidR="009D5B2E" w:rsidRPr="00FE6CB4">
        <w:rPr>
          <w:rFonts w:asciiTheme="majorHAnsi" w:hAnsiTheme="majorHAnsi" w:cs="Tahoma"/>
          <w:color w:val="auto"/>
          <w:sz w:val="24"/>
          <w:szCs w:val="24"/>
        </w:rPr>
        <w:t xml:space="preserve"> </w:t>
      </w:r>
      <w:r w:rsidR="002B254F" w:rsidRPr="00FE6CB4">
        <w:rPr>
          <w:rFonts w:asciiTheme="majorHAnsi" w:hAnsiTheme="majorHAnsi" w:cs="Tahoma"/>
          <w:color w:val="auto"/>
          <w:sz w:val="24"/>
          <w:szCs w:val="24"/>
        </w:rPr>
        <w:t>izvedenog sta</w:t>
      </w:r>
      <w:r w:rsidR="00D571A9" w:rsidRPr="00FE6CB4">
        <w:rPr>
          <w:rFonts w:asciiTheme="majorHAnsi" w:hAnsiTheme="majorHAnsi" w:cs="Tahoma"/>
          <w:color w:val="auto"/>
          <w:sz w:val="24"/>
          <w:szCs w:val="24"/>
        </w:rPr>
        <w:t>n</w:t>
      </w:r>
      <w:r w:rsidR="002B254F" w:rsidRPr="00FE6CB4">
        <w:rPr>
          <w:rFonts w:asciiTheme="majorHAnsi" w:hAnsiTheme="majorHAnsi" w:cs="Tahoma"/>
          <w:color w:val="auto"/>
          <w:sz w:val="24"/>
          <w:szCs w:val="24"/>
        </w:rPr>
        <w:t>ja izgrađenog objekta</w:t>
      </w:r>
      <w:r w:rsidR="00D97F71" w:rsidRPr="00FE6CB4">
        <w:rPr>
          <w:rFonts w:asciiTheme="majorHAnsi" w:hAnsiTheme="majorHAnsi" w:cs="Tahoma"/>
          <w:color w:val="auto"/>
          <w:sz w:val="24"/>
          <w:szCs w:val="24"/>
        </w:rPr>
        <w:t xml:space="preserve"> ili dijela objekta</w:t>
      </w:r>
      <w:r w:rsidR="002B254F" w:rsidRPr="00FE6CB4">
        <w:rPr>
          <w:rFonts w:asciiTheme="majorHAnsi" w:hAnsiTheme="majorHAnsi" w:cs="Tahoma"/>
          <w:color w:val="auto"/>
          <w:sz w:val="24"/>
          <w:szCs w:val="24"/>
        </w:rPr>
        <w:t xml:space="preserve"> </w:t>
      </w:r>
      <w:r w:rsidR="00D97F71" w:rsidRPr="00FE6CB4">
        <w:rPr>
          <w:rFonts w:asciiTheme="majorHAnsi" w:hAnsiTheme="majorHAnsi" w:cs="Tahoma"/>
          <w:color w:val="auto"/>
          <w:sz w:val="24"/>
          <w:szCs w:val="24"/>
        </w:rPr>
        <w:t>izrađenog</w:t>
      </w:r>
      <w:r w:rsidR="000B201E" w:rsidRPr="00FE6CB4">
        <w:rPr>
          <w:rFonts w:asciiTheme="majorHAnsi" w:hAnsiTheme="majorHAnsi" w:cs="Tahoma"/>
          <w:color w:val="auto"/>
          <w:sz w:val="24"/>
          <w:szCs w:val="24"/>
        </w:rPr>
        <w:t xml:space="preserve"> od strane licencirane geodetske organizacije</w:t>
      </w:r>
      <w:r w:rsidR="00D97F71" w:rsidRPr="00FE6CB4">
        <w:rPr>
          <w:rFonts w:asciiTheme="majorHAnsi" w:hAnsiTheme="majorHAnsi" w:cs="Tahoma"/>
          <w:color w:val="auto"/>
          <w:sz w:val="24"/>
          <w:szCs w:val="24"/>
        </w:rPr>
        <w:t xml:space="preserve"> i ovjerenog od strane </w:t>
      </w:r>
      <w:r w:rsidR="003C33B7" w:rsidRPr="00FE6CB4">
        <w:rPr>
          <w:rFonts w:asciiTheme="majorHAnsi" w:hAnsiTheme="majorHAnsi" w:cs="Tahoma"/>
          <w:color w:val="auto"/>
          <w:sz w:val="24"/>
          <w:szCs w:val="24"/>
        </w:rPr>
        <w:t>Uprave za nekretnine</w:t>
      </w:r>
      <w:r w:rsidR="00FE63C0" w:rsidRPr="00FE6CB4">
        <w:rPr>
          <w:rFonts w:asciiTheme="majorHAnsi" w:hAnsiTheme="majorHAnsi" w:cs="Tahoma"/>
          <w:color w:val="auto"/>
          <w:sz w:val="24"/>
          <w:szCs w:val="24"/>
        </w:rPr>
        <w:t>.</w:t>
      </w:r>
    </w:p>
    <w:p w:rsidR="006815DA" w:rsidRPr="00FE6CB4" w:rsidRDefault="006815DA" w:rsidP="00FE6CB4">
      <w:pPr>
        <w:pStyle w:val="T30X"/>
        <w:spacing w:before="0" w:after="0"/>
        <w:ind w:firstLine="720"/>
        <w:rPr>
          <w:rFonts w:asciiTheme="majorHAnsi" w:hAnsiTheme="majorHAnsi" w:cs="Tahoma"/>
          <w:color w:val="auto"/>
          <w:sz w:val="24"/>
          <w:szCs w:val="24"/>
        </w:rPr>
      </w:pPr>
      <w:proofErr w:type="gramStart"/>
      <w:r w:rsidRPr="00FE6CB4">
        <w:rPr>
          <w:rFonts w:asciiTheme="majorHAnsi" w:hAnsiTheme="majorHAnsi" w:cs="Tahoma"/>
          <w:color w:val="auto"/>
          <w:sz w:val="24"/>
          <w:szCs w:val="24"/>
        </w:rPr>
        <w:t>Obračun površina objekta vrši se prema propisu kojim je uređen način obračuna površine i zapremine zgrade.</w:t>
      </w:r>
      <w:proofErr w:type="gramEnd"/>
    </w:p>
    <w:p w:rsidR="00A14F25" w:rsidRPr="00FE6CB4" w:rsidRDefault="00046CF4" w:rsidP="00FE6CB4">
      <w:pPr>
        <w:pStyle w:val="T30X"/>
        <w:spacing w:before="0" w:after="0"/>
        <w:ind w:firstLine="720"/>
        <w:rPr>
          <w:rFonts w:asciiTheme="majorHAnsi" w:hAnsiTheme="majorHAnsi" w:cs="Tahoma"/>
          <w:sz w:val="24"/>
          <w:szCs w:val="24"/>
        </w:rPr>
      </w:pPr>
      <w:r w:rsidRPr="00FE6CB4">
        <w:rPr>
          <w:rFonts w:asciiTheme="majorHAnsi" w:hAnsiTheme="majorHAnsi" w:cs="Tahoma"/>
          <w:color w:val="auto"/>
          <w:sz w:val="24"/>
          <w:szCs w:val="24"/>
        </w:rPr>
        <w:t>Obračun naknade vrši</w:t>
      </w:r>
      <w:r w:rsidR="00A14F25" w:rsidRPr="00FE6CB4">
        <w:rPr>
          <w:rFonts w:asciiTheme="majorHAnsi" w:hAnsiTheme="majorHAnsi" w:cs="Tahoma"/>
          <w:color w:val="auto"/>
          <w:sz w:val="24"/>
          <w:szCs w:val="24"/>
        </w:rPr>
        <w:t xml:space="preserve"> </w:t>
      </w:r>
      <w:r w:rsidR="00182EB0" w:rsidRPr="00FE6CB4">
        <w:rPr>
          <w:rFonts w:asciiTheme="majorHAnsi" w:hAnsiTheme="majorHAnsi" w:cs="Tahoma"/>
          <w:color w:val="auto"/>
          <w:sz w:val="24"/>
          <w:szCs w:val="24"/>
        </w:rPr>
        <w:t>‘’</w:t>
      </w:r>
      <w:r w:rsidR="00A14F25" w:rsidRPr="00FE6CB4">
        <w:rPr>
          <w:rFonts w:asciiTheme="majorHAnsi" w:hAnsiTheme="majorHAnsi" w:cs="Tahoma"/>
          <w:color w:val="auto"/>
          <w:sz w:val="24"/>
          <w:szCs w:val="24"/>
        </w:rPr>
        <w:t>Agencij</w:t>
      </w:r>
      <w:r w:rsidRPr="00FE6CB4">
        <w:rPr>
          <w:rFonts w:asciiTheme="majorHAnsi" w:hAnsiTheme="majorHAnsi" w:cs="Tahoma"/>
          <w:color w:val="auto"/>
          <w:sz w:val="24"/>
          <w:szCs w:val="24"/>
        </w:rPr>
        <w:t>a</w:t>
      </w:r>
      <w:r w:rsidR="00A14F25" w:rsidRPr="00FE6CB4">
        <w:rPr>
          <w:rFonts w:asciiTheme="majorHAnsi" w:hAnsiTheme="majorHAnsi" w:cs="Tahoma"/>
          <w:color w:val="auto"/>
          <w:sz w:val="24"/>
          <w:szCs w:val="24"/>
        </w:rPr>
        <w:t xml:space="preserve"> za izgradnju i razvoj Podgorice</w:t>
      </w:r>
      <w:r w:rsidR="00182EB0" w:rsidRPr="00FE6CB4">
        <w:rPr>
          <w:rFonts w:asciiTheme="majorHAnsi" w:hAnsiTheme="majorHAnsi" w:cs="Tahoma"/>
          <w:color w:val="auto"/>
          <w:sz w:val="24"/>
          <w:szCs w:val="24"/>
        </w:rPr>
        <w:t>’’</w:t>
      </w:r>
      <w:r w:rsidR="00A14F25" w:rsidRPr="00FE6CB4">
        <w:rPr>
          <w:rFonts w:asciiTheme="majorHAnsi" w:hAnsiTheme="majorHAnsi" w:cs="Tahoma"/>
          <w:color w:val="auto"/>
          <w:sz w:val="24"/>
          <w:szCs w:val="24"/>
        </w:rPr>
        <w:t xml:space="preserve"> d.o.o. (u daljem tekstu: Agencija)</w:t>
      </w:r>
      <w:r w:rsidRPr="00FE6CB4">
        <w:rPr>
          <w:rFonts w:asciiTheme="majorHAnsi" w:hAnsiTheme="majorHAnsi" w:cs="Tahoma"/>
          <w:color w:val="auto"/>
          <w:sz w:val="24"/>
          <w:szCs w:val="24"/>
        </w:rPr>
        <w:t>.</w:t>
      </w:r>
    </w:p>
    <w:p w:rsidR="00B9196F" w:rsidRPr="00FE6CB4" w:rsidRDefault="00B9196F" w:rsidP="00FE6CB4">
      <w:pPr>
        <w:pStyle w:val="C30X"/>
        <w:spacing w:before="0" w:after="0"/>
        <w:jc w:val="left"/>
        <w:rPr>
          <w:rFonts w:asciiTheme="majorHAnsi" w:hAnsiTheme="majorHAnsi" w:cs="Tahoma"/>
        </w:rPr>
      </w:pPr>
    </w:p>
    <w:p w:rsidR="00182EB0" w:rsidRPr="00FE6CB4" w:rsidRDefault="00A14F25" w:rsidP="00FE6CB4">
      <w:pPr>
        <w:pStyle w:val="C30X"/>
        <w:spacing w:before="0" w:after="0"/>
        <w:rPr>
          <w:rFonts w:asciiTheme="majorHAnsi" w:hAnsiTheme="majorHAnsi" w:cs="Tahoma"/>
        </w:rPr>
      </w:pPr>
      <w:r w:rsidRPr="00FE6CB4">
        <w:rPr>
          <w:rFonts w:asciiTheme="majorHAnsi" w:hAnsiTheme="majorHAnsi" w:cs="Tahoma"/>
        </w:rPr>
        <w:t xml:space="preserve">Član </w:t>
      </w:r>
      <w:r w:rsidR="003217AE" w:rsidRPr="00FE6CB4">
        <w:rPr>
          <w:rFonts w:asciiTheme="majorHAnsi" w:hAnsiTheme="majorHAnsi" w:cs="Tahoma"/>
        </w:rPr>
        <w:t>4</w:t>
      </w:r>
    </w:p>
    <w:p w:rsidR="00D13A00" w:rsidRPr="00FE6CB4" w:rsidRDefault="00D13A00" w:rsidP="00FE6CB4">
      <w:pPr>
        <w:pStyle w:val="T30X"/>
        <w:spacing w:before="0" w:after="0"/>
        <w:ind w:firstLine="720"/>
        <w:rPr>
          <w:rFonts w:asciiTheme="majorHAnsi" w:hAnsiTheme="majorHAnsi"/>
          <w:sz w:val="24"/>
          <w:szCs w:val="24"/>
        </w:rPr>
      </w:pPr>
      <w:r w:rsidRPr="00FE6CB4">
        <w:rPr>
          <w:rFonts w:asciiTheme="majorHAnsi" w:hAnsiTheme="majorHAnsi"/>
          <w:sz w:val="24"/>
          <w:szCs w:val="24"/>
        </w:rPr>
        <w:t>Visina naknade utvrđuje se u zavisnosti od ekonomsko tržišne projekcije planskog dokumenta za komunalno opremanje prostora, zone, stepena opremljenosti građevinskog zemljišta, prosječnih troškova opremanja građevinskog zemljišta, troškova sprovođenja mjera urbane sanacije prostora devastiranih bespravnom gradnjom, načina plaćanja utvrđenog iznosa naknade, vrste, namjene i starosti objekta.</w:t>
      </w:r>
    </w:p>
    <w:p w:rsidR="00182EB0" w:rsidRPr="00FE6CB4" w:rsidRDefault="00182EB0" w:rsidP="00FE6CB4">
      <w:pPr>
        <w:pStyle w:val="C30X"/>
        <w:spacing w:before="0" w:after="0"/>
        <w:jc w:val="left"/>
        <w:rPr>
          <w:rFonts w:asciiTheme="majorHAnsi" w:hAnsiTheme="majorHAnsi" w:cs="Tahoma"/>
        </w:rPr>
      </w:pPr>
    </w:p>
    <w:p w:rsidR="00182EB0" w:rsidRPr="00FE6CB4" w:rsidRDefault="00182EB0" w:rsidP="00FE6CB4">
      <w:pPr>
        <w:pStyle w:val="C30X"/>
        <w:spacing w:before="0" w:after="0"/>
        <w:rPr>
          <w:rFonts w:asciiTheme="majorHAnsi" w:hAnsiTheme="majorHAnsi" w:cs="Tahoma"/>
        </w:rPr>
      </w:pPr>
      <w:r w:rsidRPr="00FE6CB4">
        <w:rPr>
          <w:rFonts w:asciiTheme="majorHAnsi" w:hAnsiTheme="majorHAnsi" w:cs="Tahoma"/>
        </w:rPr>
        <w:t>Član 5</w:t>
      </w:r>
    </w:p>
    <w:p w:rsidR="00FA5252" w:rsidRPr="00FE6CB4" w:rsidRDefault="00FA5252" w:rsidP="00FE6CB4">
      <w:pPr>
        <w:pStyle w:val="T30X"/>
        <w:spacing w:before="0" w:after="0"/>
        <w:ind w:firstLine="720"/>
        <w:rPr>
          <w:rFonts w:asciiTheme="majorHAnsi" w:hAnsiTheme="majorHAnsi"/>
          <w:sz w:val="24"/>
          <w:szCs w:val="24"/>
        </w:rPr>
      </w:pPr>
      <w:r w:rsidRPr="00FE6CB4">
        <w:rPr>
          <w:rFonts w:asciiTheme="majorHAnsi" w:hAnsiTheme="majorHAnsi"/>
          <w:sz w:val="24"/>
          <w:szCs w:val="24"/>
        </w:rPr>
        <w:t xml:space="preserve">Troškovi komunalnog opremanja </w:t>
      </w:r>
      <w:proofErr w:type="gramStart"/>
      <w:r w:rsidRPr="00FE6CB4">
        <w:rPr>
          <w:rFonts w:asciiTheme="majorHAnsi" w:hAnsiTheme="majorHAnsi"/>
          <w:sz w:val="24"/>
          <w:szCs w:val="24"/>
        </w:rPr>
        <w:t>na</w:t>
      </w:r>
      <w:proofErr w:type="gramEnd"/>
      <w:r w:rsidRPr="00FE6CB4">
        <w:rPr>
          <w:rFonts w:asciiTheme="majorHAnsi" w:hAnsiTheme="majorHAnsi"/>
          <w:sz w:val="24"/>
          <w:szCs w:val="24"/>
        </w:rPr>
        <w:t xml:space="preserve"> osnovu ekonomsko tržišne projekcije planskog dokumenta za komunalno opremanje prostora u zahvatu pojedinih zona iznose (€/ m</w:t>
      </w:r>
      <w:r w:rsidRPr="00FE6CB4">
        <w:rPr>
          <w:rFonts w:asciiTheme="majorHAnsi" w:hAnsiTheme="majorHAnsi"/>
          <w:sz w:val="24"/>
          <w:szCs w:val="24"/>
          <w:vertAlign w:val="superscript"/>
        </w:rPr>
        <w:t>2</w:t>
      </w:r>
      <w:r w:rsidRPr="00FE6CB4">
        <w:rPr>
          <w:rFonts w:asciiTheme="majorHAnsi" w:hAnsiTheme="majorHAnsi"/>
          <w:sz w:val="24"/>
          <w:szCs w:val="24"/>
        </w:rPr>
        <w:t>):</w:t>
      </w:r>
    </w:p>
    <w:p w:rsidR="00046CF4" w:rsidRPr="00FE6CB4" w:rsidRDefault="00046CF4" w:rsidP="00FE6CB4">
      <w:pPr>
        <w:pStyle w:val="T30X"/>
        <w:spacing w:before="0" w:after="0"/>
        <w:ind w:firstLine="720"/>
        <w:rPr>
          <w:rFonts w:asciiTheme="majorHAnsi" w:hAnsiTheme="majorHAnsi"/>
          <w:b/>
          <w:sz w:val="24"/>
          <w:szCs w:val="24"/>
        </w:rPr>
      </w:pPr>
      <w:r w:rsidRPr="00FE6CB4">
        <w:rPr>
          <w:rFonts w:asciiTheme="majorHAnsi" w:hAnsiTheme="majorHAnsi"/>
          <w:b/>
          <w:sz w:val="24"/>
          <w:szCs w:val="24"/>
        </w:rPr>
        <w:t>  ---------------------------------------------------------------------------------------------</w:t>
      </w:r>
    </w:p>
    <w:p w:rsidR="00046CF4" w:rsidRPr="00FE6CB4" w:rsidRDefault="00046CF4" w:rsidP="00FE6CB4">
      <w:pPr>
        <w:pStyle w:val="T30X"/>
        <w:spacing w:before="0" w:after="0"/>
        <w:ind w:firstLine="720"/>
        <w:rPr>
          <w:rFonts w:asciiTheme="majorHAnsi" w:hAnsiTheme="majorHAnsi"/>
          <w:sz w:val="24"/>
          <w:szCs w:val="24"/>
        </w:rPr>
      </w:pPr>
      <w:r w:rsidRPr="00FE6CB4">
        <w:rPr>
          <w:rFonts w:asciiTheme="majorHAnsi" w:hAnsiTheme="majorHAnsi"/>
          <w:sz w:val="24"/>
          <w:szCs w:val="24"/>
        </w:rPr>
        <w:t>       ZONA      </w:t>
      </w:r>
      <w:proofErr w:type="gramStart"/>
      <w:r w:rsidRPr="00FE6CB4">
        <w:rPr>
          <w:rFonts w:asciiTheme="majorHAnsi" w:hAnsiTheme="majorHAnsi"/>
          <w:sz w:val="24"/>
          <w:szCs w:val="24"/>
        </w:rPr>
        <w:t>Ia</w:t>
      </w:r>
      <w:proofErr w:type="gramEnd"/>
      <w:r w:rsidRPr="00FE6CB4">
        <w:rPr>
          <w:rFonts w:asciiTheme="majorHAnsi" w:hAnsiTheme="majorHAnsi"/>
          <w:sz w:val="24"/>
          <w:szCs w:val="24"/>
        </w:rPr>
        <w:t>                I                 II            III            IV            V</w:t>
      </w:r>
    </w:p>
    <w:p w:rsidR="00046CF4" w:rsidRPr="00FE6CB4" w:rsidRDefault="00046CF4" w:rsidP="00FE6CB4">
      <w:pPr>
        <w:pStyle w:val="T30X"/>
        <w:spacing w:before="0" w:after="0"/>
        <w:ind w:firstLine="720"/>
        <w:rPr>
          <w:rFonts w:asciiTheme="majorHAnsi" w:hAnsiTheme="majorHAnsi"/>
          <w:b/>
          <w:sz w:val="24"/>
          <w:szCs w:val="24"/>
        </w:rPr>
      </w:pPr>
      <w:r w:rsidRPr="00FE6CB4">
        <w:rPr>
          <w:rFonts w:asciiTheme="majorHAnsi" w:hAnsiTheme="majorHAnsi"/>
          <w:sz w:val="24"/>
          <w:szCs w:val="24"/>
        </w:rPr>
        <w:t>  </w:t>
      </w:r>
      <w:r w:rsidRPr="00FE6CB4">
        <w:rPr>
          <w:rFonts w:asciiTheme="majorHAnsi" w:hAnsiTheme="majorHAnsi"/>
          <w:b/>
          <w:sz w:val="24"/>
          <w:szCs w:val="24"/>
        </w:rPr>
        <w:t>----------------------------------------------------------------------------------------------</w:t>
      </w:r>
    </w:p>
    <w:p w:rsidR="00046CF4" w:rsidRPr="00FE6CB4" w:rsidRDefault="00046CF4" w:rsidP="00FE6CB4">
      <w:pPr>
        <w:pStyle w:val="T30X"/>
        <w:spacing w:before="0" w:after="0"/>
        <w:ind w:firstLine="720"/>
        <w:rPr>
          <w:rFonts w:asciiTheme="majorHAnsi" w:hAnsiTheme="majorHAnsi"/>
          <w:sz w:val="24"/>
          <w:szCs w:val="24"/>
        </w:rPr>
      </w:pPr>
      <w:r w:rsidRPr="00FE6CB4">
        <w:rPr>
          <w:rFonts w:asciiTheme="majorHAnsi" w:hAnsiTheme="majorHAnsi"/>
          <w:sz w:val="24"/>
          <w:szCs w:val="24"/>
        </w:rPr>
        <w:t>       Iznos</w:t>
      </w:r>
      <w:proofErr w:type="gramStart"/>
      <w:r w:rsidRPr="00FE6CB4">
        <w:rPr>
          <w:rFonts w:asciiTheme="majorHAnsi" w:hAnsiTheme="majorHAnsi"/>
          <w:sz w:val="24"/>
          <w:szCs w:val="24"/>
        </w:rPr>
        <w:t>  187,46</w:t>
      </w:r>
      <w:proofErr w:type="gramEnd"/>
      <w:r w:rsidRPr="00FE6CB4">
        <w:rPr>
          <w:rFonts w:asciiTheme="majorHAnsi" w:hAnsiTheme="majorHAnsi"/>
          <w:sz w:val="24"/>
          <w:szCs w:val="24"/>
        </w:rPr>
        <w:t>€   164,02€   140,59€   93,73€   70,30€   46,86€</w:t>
      </w:r>
    </w:p>
    <w:p w:rsidR="00046CF4" w:rsidRPr="00FE6CB4" w:rsidRDefault="00046CF4" w:rsidP="00FE6CB4">
      <w:pPr>
        <w:pStyle w:val="T30X"/>
        <w:spacing w:before="0" w:after="0"/>
        <w:ind w:firstLine="720"/>
        <w:rPr>
          <w:rFonts w:asciiTheme="majorHAnsi" w:hAnsiTheme="majorHAnsi"/>
          <w:sz w:val="24"/>
          <w:szCs w:val="24"/>
        </w:rPr>
      </w:pPr>
      <w:r w:rsidRPr="00FE6CB4">
        <w:rPr>
          <w:rFonts w:asciiTheme="majorHAnsi" w:hAnsiTheme="majorHAnsi"/>
          <w:sz w:val="24"/>
          <w:szCs w:val="24"/>
        </w:rPr>
        <w:t>      (€/m</w:t>
      </w:r>
      <w:r w:rsidRPr="00FE6CB4">
        <w:rPr>
          <w:rFonts w:asciiTheme="majorHAnsi" w:hAnsiTheme="majorHAnsi"/>
          <w:sz w:val="24"/>
          <w:szCs w:val="24"/>
          <w:vertAlign w:val="superscript"/>
        </w:rPr>
        <w:t>2</w:t>
      </w:r>
      <w:r w:rsidRPr="00FE6CB4">
        <w:rPr>
          <w:rFonts w:asciiTheme="majorHAnsi" w:hAnsiTheme="majorHAnsi"/>
          <w:sz w:val="24"/>
          <w:szCs w:val="24"/>
        </w:rPr>
        <w:t>)</w:t>
      </w:r>
    </w:p>
    <w:p w:rsidR="00046CF4" w:rsidRPr="00FE6CB4" w:rsidRDefault="00046CF4" w:rsidP="00FE6CB4">
      <w:pPr>
        <w:pStyle w:val="T30X"/>
        <w:spacing w:before="0" w:after="0"/>
        <w:ind w:firstLine="720"/>
        <w:rPr>
          <w:rFonts w:asciiTheme="majorHAnsi" w:hAnsiTheme="majorHAnsi"/>
          <w:sz w:val="24"/>
          <w:szCs w:val="24"/>
        </w:rPr>
      </w:pPr>
      <w:r w:rsidRPr="00FE6CB4">
        <w:rPr>
          <w:rFonts w:asciiTheme="majorHAnsi" w:hAnsiTheme="majorHAnsi"/>
          <w:sz w:val="24"/>
          <w:szCs w:val="24"/>
        </w:rPr>
        <w:t> </w:t>
      </w:r>
      <w:r w:rsidRPr="00FE6CB4">
        <w:rPr>
          <w:rFonts w:asciiTheme="majorHAnsi" w:hAnsiTheme="majorHAnsi"/>
          <w:b/>
          <w:sz w:val="24"/>
          <w:szCs w:val="24"/>
        </w:rPr>
        <w:t>-----------------------------------------------------------------------------------------------</w:t>
      </w:r>
    </w:p>
    <w:p w:rsidR="00FA5252" w:rsidRPr="00FE6CB4" w:rsidRDefault="00FA5252" w:rsidP="00FE6CB4">
      <w:pPr>
        <w:pStyle w:val="C30X"/>
        <w:spacing w:before="0" w:after="0"/>
        <w:jc w:val="left"/>
        <w:rPr>
          <w:rFonts w:asciiTheme="majorHAnsi" w:hAnsiTheme="majorHAnsi" w:cs="Tahoma"/>
        </w:rPr>
      </w:pPr>
    </w:p>
    <w:p w:rsidR="00FE6CB4" w:rsidRPr="00FE6CB4" w:rsidRDefault="00FA5252" w:rsidP="00FE6CB4">
      <w:pPr>
        <w:pStyle w:val="C30X"/>
        <w:spacing w:before="0" w:after="0"/>
        <w:rPr>
          <w:rFonts w:asciiTheme="majorHAnsi" w:hAnsiTheme="majorHAnsi" w:cs="Tahoma"/>
        </w:rPr>
      </w:pPr>
      <w:r w:rsidRPr="00FE6CB4">
        <w:rPr>
          <w:rFonts w:asciiTheme="majorHAnsi" w:hAnsiTheme="majorHAnsi" w:cs="Tahoma"/>
        </w:rPr>
        <w:t>Član 6</w:t>
      </w:r>
    </w:p>
    <w:p w:rsidR="00A14F25" w:rsidRPr="00FE6CB4" w:rsidRDefault="00A14F25" w:rsidP="00FE6CB4">
      <w:pPr>
        <w:pStyle w:val="T30X"/>
        <w:spacing w:before="0" w:after="0"/>
        <w:ind w:firstLine="720"/>
        <w:rPr>
          <w:rFonts w:asciiTheme="majorHAnsi" w:hAnsiTheme="majorHAnsi" w:cs="Tahoma"/>
          <w:sz w:val="24"/>
          <w:szCs w:val="24"/>
        </w:rPr>
      </w:pPr>
      <w:r w:rsidRPr="00FE6CB4">
        <w:rPr>
          <w:rFonts w:asciiTheme="majorHAnsi" w:hAnsiTheme="majorHAnsi" w:cs="Tahoma"/>
          <w:sz w:val="24"/>
          <w:szCs w:val="24"/>
        </w:rPr>
        <w:t xml:space="preserve">Granice zona utvrđene su </w:t>
      </w:r>
      <w:proofErr w:type="gramStart"/>
      <w:r w:rsidRPr="00FE6CB4">
        <w:rPr>
          <w:rFonts w:asciiTheme="majorHAnsi" w:hAnsiTheme="majorHAnsi" w:cs="Tahoma"/>
          <w:sz w:val="24"/>
          <w:szCs w:val="24"/>
        </w:rPr>
        <w:t>na</w:t>
      </w:r>
      <w:proofErr w:type="gramEnd"/>
      <w:r w:rsidRPr="00FE6CB4">
        <w:rPr>
          <w:rFonts w:asciiTheme="majorHAnsi" w:hAnsiTheme="majorHAnsi" w:cs="Tahoma"/>
          <w:sz w:val="24"/>
          <w:szCs w:val="24"/>
        </w:rPr>
        <w:t xml:space="preserve"> osno</w:t>
      </w:r>
      <w:r w:rsidR="00474727" w:rsidRPr="00FE6CB4">
        <w:rPr>
          <w:rFonts w:asciiTheme="majorHAnsi" w:hAnsiTheme="majorHAnsi" w:cs="Tahoma"/>
          <w:sz w:val="24"/>
          <w:szCs w:val="24"/>
        </w:rPr>
        <w:t xml:space="preserve">vu zahvata planskih dokumenata </w:t>
      </w:r>
      <w:r w:rsidRPr="00FE6CB4">
        <w:rPr>
          <w:rFonts w:asciiTheme="majorHAnsi" w:hAnsiTheme="majorHAnsi" w:cs="Tahoma"/>
          <w:sz w:val="24"/>
          <w:szCs w:val="24"/>
        </w:rPr>
        <w:t>i to:</w:t>
      </w:r>
    </w:p>
    <w:p w:rsidR="00A14F25" w:rsidRPr="00FE6CB4" w:rsidRDefault="00A14F25" w:rsidP="00FE6CB4">
      <w:pPr>
        <w:pStyle w:val="T30X"/>
        <w:spacing w:before="0" w:after="0"/>
        <w:rPr>
          <w:rFonts w:asciiTheme="majorHAnsi" w:hAnsiTheme="majorHAnsi" w:cs="Tahoma"/>
          <w:sz w:val="24"/>
          <w:szCs w:val="24"/>
        </w:rPr>
      </w:pPr>
    </w:p>
    <w:p w:rsidR="00182EB0" w:rsidRPr="00FE6CB4" w:rsidRDefault="00182EB0" w:rsidP="00FE6CB4">
      <w:pPr>
        <w:widowControl w:val="0"/>
        <w:jc w:val="both"/>
        <w:rPr>
          <w:rFonts w:asciiTheme="majorHAnsi" w:eastAsia="Times New Roman" w:hAnsiTheme="majorHAnsi" w:cs="Arial"/>
          <w:b/>
          <w:color w:val="auto"/>
          <w:sz w:val="24"/>
          <w:szCs w:val="24"/>
          <w:u w:val="single"/>
        </w:rPr>
      </w:pPr>
      <w:r w:rsidRPr="00FE6CB4">
        <w:rPr>
          <w:rFonts w:asciiTheme="majorHAnsi" w:eastAsia="Times New Roman" w:hAnsiTheme="majorHAnsi" w:cs="Arial"/>
          <w:b/>
          <w:color w:val="auto"/>
          <w:sz w:val="24"/>
          <w:szCs w:val="24"/>
          <w:u w:val="single"/>
        </w:rPr>
        <w:t>PRVA "A" ZONA</w:t>
      </w:r>
      <w:r w:rsidR="00594F14" w:rsidRPr="00FE6CB4">
        <w:rPr>
          <w:rFonts w:asciiTheme="majorHAnsi" w:eastAsia="Times New Roman" w:hAnsiTheme="majorHAnsi" w:cs="Arial"/>
          <w:b/>
          <w:color w:val="auto"/>
          <w:sz w:val="24"/>
          <w:szCs w:val="24"/>
          <w:u w:val="single"/>
        </w:rPr>
        <w:t xml:space="preserve"> (I</w:t>
      </w:r>
      <w:r w:rsidR="00FA5252" w:rsidRPr="00FE6CB4">
        <w:rPr>
          <w:rFonts w:asciiTheme="majorHAnsi" w:eastAsia="Times New Roman" w:hAnsiTheme="majorHAnsi" w:cs="Arial"/>
          <w:b/>
          <w:color w:val="auto"/>
          <w:sz w:val="24"/>
          <w:szCs w:val="24"/>
          <w:u w:val="single"/>
        </w:rPr>
        <w:t>A</w:t>
      </w:r>
      <w:r w:rsidR="00594F14" w:rsidRPr="00FE6CB4">
        <w:rPr>
          <w:rFonts w:asciiTheme="majorHAnsi" w:eastAsia="Times New Roman" w:hAnsiTheme="majorHAnsi" w:cs="Arial"/>
          <w:b/>
          <w:color w:val="auto"/>
          <w:sz w:val="24"/>
          <w:szCs w:val="24"/>
          <w:u w:val="single"/>
        </w:rPr>
        <w:t>)</w:t>
      </w:r>
    </w:p>
    <w:p w:rsidR="00182EB0" w:rsidRPr="00FE6CB4" w:rsidRDefault="00182EB0" w:rsidP="00FE6CB4">
      <w:pPr>
        <w:widowControl w:val="0"/>
        <w:jc w:val="both"/>
        <w:rPr>
          <w:rFonts w:asciiTheme="majorHAnsi" w:eastAsia="Times New Roman" w:hAnsiTheme="majorHAnsi" w:cs="Arial"/>
          <w:color w:val="auto"/>
          <w:sz w:val="24"/>
          <w:szCs w:val="24"/>
        </w:rPr>
      </w:pPr>
      <w:r w:rsidRPr="00FE6CB4">
        <w:rPr>
          <w:rFonts w:asciiTheme="majorHAnsi" w:eastAsia="Times New Roman" w:hAnsiTheme="majorHAnsi" w:cs="Arial"/>
          <w:color w:val="auto"/>
          <w:sz w:val="24"/>
          <w:szCs w:val="24"/>
        </w:rPr>
        <w:t>Obuhvata prostor koji zahvata:</w:t>
      </w:r>
    </w:p>
    <w:p w:rsidR="00182EB0" w:rsidRPr="00FE6CB4" w:rsidRDefault="00182EB0" w:rsidP="00FE6CB4">
      <w:pPr>
        <w:widowControl w:val="0"/>
        <w:jc w:val="both"/>
        <w:rPr>
          <w:rFonts w:asciiTheme="majorHAnsi" w:eastAsia="Times New Roman" w:hAnsiTheme="majorHAnsi" w:cs="Arial"/>
          <w:color w:val="auto"/>
          <w:sz w:val="24"/>
          <w:szCs w:val="24"/>
        </w:rPr>
      </w:pPr>
      <w:r w:rsidRPr="00FE6CB4">
        <w:rPr>
          <w:rFonts w:asciiTheme="majorHAnsi" w:eastAsia="Times New Roman" w:hAnsiTheme="majorHAnsi" w:cs="Arial"/>
          <w:color w:val="auto"/>
          <w:sz w:val="24"/>
          <w:szCs w:val="24"/>
        </w:rPr>
        <w:t>DUP "Nova Varoš", DUP "Nova Varoš 2", DUP "Gorica C",  DUP "Drač"</w:t>
      </w:r>
      <w:r w:rsidR="008E5FAF" w:rsidRPr="00FE6CB4">
        <w:rPr>
          <w:rFonts w:asciiTheme="majorHAnsi" w:eastAsia="Times New Roman" w:hAnsiTheme="majorHAnsi" w:cs="Arial"/>
          <w:color w:val="auto"/>
          <w:sz w:val="24"/>
          <w:szCs w:val="24"/>
        </w:rPr>
        <w:t xml:space="preserve"> - </w:t>
      </w:r>
      <w:r w:rsidRPr="00FE6CB4">
        <w:rPr>
          <w:rFonts w:asciiTheme="majorHAnsi" w:eastAsia="Times New Roman" w:hAnsiTheme="majorHAnsi" w:cs="Arial"/>
          <w:color w:val="auto"/>
          <w:sz w:val="24"/>
          <w:szCs w:val="24"/>
        </w:rPr>
        <w:t>za urbanu cjelinu Nova Varoš</w:t>
      </w:r>
      <w:r w:rsidR="008E5FAF" w:rsidRPr="00FE6CB4">
        <w:rPr>
          <w:rFonts w:asciiTheme="majorHAnsi" w:eastAsia="Times New Roman" w:hAnsiTheme="majorHAnsi" w:cs="Arial"/>
          <w:color w:val="auto"/>
          <w:sz w:val="24"/>
          <w:szCs w:val="24"/>
        </w:rPr>
        <w:t xml:space="preserve"> 1.2</w:t>
      </w:r>
      <w:r w:rsidRPr="00FE6CB4">
        <w:rPr>
          <w:rFonts w:asciiTheme="majorHAnsi" w:eastAsia="Times New Roman" w:hAnsiTheme="majorHAnsi" w:cs="Arial"/>
          <w:color w:val="auto"/>
          <w:sz w:val="24"/>
          <w:szCs w:val="24"/>
        </w:rPr>
        <w:t>, DUP "Drač - Vatrogasni dom", UP</w:t>
      </w:r>
      <w:r w:rsidR="008E5FAF" w:rsidRPr="00FE6CB4">
        <w:rPr>
          <w:rFonts w:asciiTheme="majorHAnsi" w:eastAsia="Times New Roman" w:hAnsiTheme="majorHAnsi" w:cs="Arial"/>
          <w:color w:val="auto"/>
          <w:sz w:val="24"/>
          <w:szCs w:val="24"/>
        </w:rPr>
        <w:t xml:space="preserve"> "Drač-Vatrogasni dom - zona A"</w:t>
      </w:r>
      <w:r w:rsidRPr="00FE6CB4">
        <w:rPr>
          <w:rFonts w:asciiTheme="majorHAnsi" w:eastAsia="Times New Roman" w:hAnsiTheme="majorHAnsi" w:cs="Arial"/>
          <w:color w:val="auto"/>
          <w:sz w:val="24"/>
          <w:szCs w:val="24"/>
        </w:rPr>
        <w:t>, UP "Kasarna Morača" i urbanistički projekti u zahvatu DUP-a “Nova Varoš”.</w:t>
      </w:r>
    </w:p>
    <w:p w:rsidR="006E4974" w:rsidRPr="00FE6CB4" w:rsidRDefault="006E4974" w:rsidP="00FE6CB4">
      <w:pPr>
        <w:widowControl w:val="0"/>
        <w:jc w:val="both"/>
        <w:rPr>
          <w:rFonts w:asciiTheme="majorHAnsi" w:eastAsia="Times New Roman" w:hAnsiTheme="majorHAnsi" w:cs="Arial"/>
          <w:color w:val="auto"/>
          <w:sz w:val="24"/>
          <w:szCs w:val="24"/>
        </w:rPr>
      </w:pPr>
    </w:p>
    <w:p w:rsidR="00182EB0" w:rsidRPr="00FE6CB4" w:rsidRDefault="00182EB0" w:rsidP="00FE6CB4">
      <w:pPr>
        <w:widowControl w:val="0"/>
        <w:jc w:val="both"/>
        <w:rPr>
          <w:rFonts w:asciiTheme="majorHAnsi" w:eastAsia="Times New Roman" w:hAnsiTheme="majorHAnsi" w:cs="Arial"/>
          <w:b/>
          <w:color w:val="auto"/>
          <w:sz w:val="24"/>
          <w:szCs w:val="24"/>
          <w:u w:val="single"/>
        </w:rPr>
      </w:pPr>
      <w:r w:rsidRPr="00FE6CB4">
        <w:rPr>
          <w:rFonts w:asciiTheme="majorHAnsi" w:eastAsia="Times New Roman" w:hAnsiTheme="majorHAnsi" w:cs="Arial"/>
          <w:b/>
          <w:color w:val="auto"/>
          <w:sz w:val="24"/>
          <w:szCs w:val="24"/>
          <w:u w:val="single"/>
        </w:rPr>
        <w:t>PRVA ZONA</w:t>
      </w:r>
      <w:r w:rsidR="00594F14" w:rsidRPr="00FE6CB4">
        <w:rPr>
          <w:rFonts w:asciiTheme="majorHAnsi" w:eastAsia="Times New Roman" w:hAnsiTheme="majorHAnsi" w:cs="Arial"/>
          <w:b/>
          <w:color w:val="auto"/>
          <w:sz w:val="24"/>
          <w:szCs w:val="24"/>
          <w:u w:val="single"/>
        </w:rPr>
        <w:t xml:space="preserve"> (I)</w:t>
      </w:r>
    </w:p>
    <w:p w:rsidR="00182EB0" w:rsidRPr="00FE6CB4" w:rsidRDefault="00182EB0" w:rsidP="00FE6CB4">
      <w:pPr>
        <w:widowControl w:val="0"/>
        <w:jc w:val="both"/>
        <w:rPr>
          <w:rFonts w:asciiTheme="majorHAnsi" w:eastAsia="Times New Roman" w:hAnsiTheme="majorHAnsi" w:cs="Arial"/>
          <w:color w:val="auto"/>
          <w:sz w:val="24"/>
          <w:szCs w:val="24"/>
        </w:rPr>
      </w:pPr>
      <w:r w:rsidRPr="00FE6CB4">
        <w:rPr>
          <w:rFonts w:asciiTheme="majorHAnsi" w:eastAsia="Times New Roman" w:hAnsiTheme="majorHAnsi" w:cs="Arial"/>
          <w:color w:val="auto"/>
          <w:sz w:val="24"/>
          <w:szCs w:val="24"/>
        </w:rPr>
        <w:t>Obuhvata prostor koji zahvata:</w:t>
      </w:r>
    </w:p>
    <w:p w:rsidR="00182EB0" w:rsidRPr="00FE6CB4" w:rsidRDefault="00182EB0" w:rsidP="00FE6CB4">
      <w:pPr>
        <w:widowControl w:val="0"/>
        <w:jc w:val="both"/>
        <w:rPr>
          <w:rFonts w:asciiTheme="majorHAnsi" w:eastAsia="Times New Roman" w:hAnsiTheme="majorHAnsi" w:cs="Arial"/>
          <w:color w:val="auto"/>
          <w:sz w:val="24"/>
          <w:szCs w:val="24"/>
        </w:rPr>
      </w:pPr>
      <w:r w:rsidRPr="00FE6CB4">
        <w:rPr>
          <w:rFonts w:asciiTheme="majorHAnsi" w:eastAsia="Times New Roman" w:hAnsiTheme="majorHAnsi" w:cs="Arial"/>
          <w:color w:val="auto"/>
          <w:sz w:val="24"/>
          <w:szCs w:val="24"/>
        </w:rPr>
        <w:t xml:space="preserve">DUP "Stambena zajednica VI – </w:t>
      </w:r>
      <w:r w:rsidR="006E4974" w:rsidRPr="00FE6CB4">
        <w:rPr>
          <w:rFonts w:asciiTheme="majorHAnsi" w:eastAsia="Times New Roman" w:hAnsiTheme="majorHAnsi" w:cs="Arial"/>
          <w:color w:val="auto"/>
          <w:sz w:val="24"/>
          <w:szCs w:val="24"/>
        </w:rPr>
        <w:t>Kruševac</w:t>
      </w:r>
      <w:r w:rsidRPr="00FE6CB4">
        <w:rPr>
          <w:rFonts w:asciiTheme="majorHAnsi" w:eastAsia="Times New Roman" w:hAnsiTheme="majorHAnsi" w:cs="Arial"/>
          <w:color w:val="auto"/>
          <w:sz w:val="24"/>
          <w:szCs w:val="24"/>
        </w:rPr>
        <w:t>", DUP "Stambena zajednica VI – Kruševac dio" – izmjene i dopune, DUP "Blok 6 - zona 6" – izmjene i dopune , DUP "Blok 5" – izmjene i dopune, DUP "Blok V - dio" – izmjene i dopune, Blok A u zahvatu DUP-a "Momišići B", DUP "Poslovni centar Kruševac</w:t>
      </w:r>
      <w:r w:rsidR="00BD09E2" w:rsidRPr="00FE6CB4">
        <w:rPr>
          <w:rFonts w:asciiTheme="majorHAnsi" w:eastAsia="Times New Roman" w:hAnsiTheme="majorHAnsi" w:cs="Arial"/>
          <w:color w:val="auto"/>
          <w:sz w:val="24"/>
          <w:szCs w:val="24"/>
        </w:rPr>
        <w:t xml:space="preserve"> </w:t>
      </w:r>
      <w:r w:rsidRPr="00FE6CB4">
        <w:rPr>
          <w:rFonts w:asciiTheme="majorHAnsi" w:eastAsia="Times New Roman" w:hAnsiTheme="majorHAnsi" w:cs="Arial"/>
          <w:color w:val="auto"/>
          <w:sz w:val="24"/>
          <w:szCs w:val="24"/>
        </w:rPr>
        <w:t>-</w:t>
      </w:r>
      <w:r w:rsidR="00BD09E2" w:rsidRPr="00FE6CB4">
        <w:rPr>
          <w:rFonts w:asciiTheme="majorHAnsi" w:eastAsia="Times New Roman" w:hAnsiTheme="majorHAnsi" w:cs="Arial"/>
          <w:color w:val="auto"/>
          <w:sz w:val="24"/>
          <w:szCs w:val="24"/>
        </w:rPr>
        <w:t xml:space="preserve"> </w:t>
      </w:r>
      <w:r w:rsidRPr="00FE6CB4">
        <w:rPr>
          <w:rFonts w:asciiTheme="majorHAnsi" w:eastAsia="Times New Roman" w:hAnsiTheme="majorHAnsi" w:cs="Arial"/>
          <w:color w:val="auto"/>
          <w:sz w:val="24"/>
          <w:szCs w:val="24"/>
        </w:rPr>
        <w:t xml:space="preserve">zona A", DUP "Poslovni centar Kruševac - zona B’’, DUP "Univerzitetski centar" – izmjene i dopune, DUP "Zona centralnih djelatnosti - Cetinjski put" – izmjene i dopune, </w:t>
      </w:r>
      <w:r w:rsidR="00BD09E2" w:rsidRPr="00FE6CB4">
        <w:rPr>
          <w:rFonts w:asciiTheme="majorHAnsi" w:eastAsia="Times New Roman" w:hAnsiTheme="majorHAnsi" w:cs="Arial"/>
          <w:color w:val="auto"/>
          <w:sz w:val="24"/>
          <w:szCs w:val="24"/>
        </w:rPr>
        <w:t xml:space="preserve">DUP "Naselje 1. </w:t>
      </w:r>
      <w:proofErr w:type="gramStart"/>
      <w:r w:rsidR="00BD09E2" w:rsidRPr="00FE6CB4">
        <w:rPr>
          <w:rFonts w:asciiTheme="majorHAnsi" w:eastAsia="Times New Roman" w:hAnsiTheme="majorHAnsi" w:cs="Arial"/>
          <w:color w:val="auto"/>
          <w:sz w:val="24"/>
          <w:szCs w:val="24"/>
        </w:rPr>
        <w:t>maj</w:t>
      </w:r>
      <w:proofErr w:type="gramEnd"/>
      <w:r w:rsidR="00BD09E2" w:rsidRPr="00FE6CB4">
        <w:rPr>
          <w:rFonts w:asciiTheme="majorHAnsi" w:eastAsia="Times New Roman" w:hAnsiTheme="majorHAnsi" w:cs="Arial"/>
          <w:color w:val="auto"/>
          <w:sz w:val="24"/>
          <w:szCs w:val="24"/>
        </w:rPr>
        <w:t xml:space="preserve">", DUP "Naselje 1. maj - dio"– izmjene i dopune, UP "Marko Radović" – izmjene i dopune, UP "Duvanski kombinat" – izmjene i dopune, UP "Montefarm", DUP "Radoje Dakić" – izmjene i dopune, </w:t>
      </w:r>
      <w:r w:rsidRPr="00FE6CB4">
        <w:rPr>
          <w:rFonts w:asciiTheme="majorHAnsi" w:eastAsia="Times New Roman" w:hAnsiTheme="majorHAnsi" w:cs="Arial"/>
          <w:color w:val="auto"/>
          <w:sz w:val="24"/>
          <w:szCs w:val="24"/>
        </w:rPr>
        <w:t xml:space="preserve">DUP "RTV Centralne djelatnosti", DUP "Spomen park Kruševac" – izmjene i dopune, DUP "Spomen park Kruševac - zona A i E" – izmjene i dopune, UP "Klinički centar Crne Gore"– izmjene i dopune, DUP "Novi grad 1 i 2" – izmjene i dopune, DUP "Rekreativno kulturna zona na obali rijeke Morače - južni dio" – izmjene i dopune, DUP "Rekreativno kulturna zona na obali rijeke Morače" </w:t>
      </w:r>
      <w:r w:rsidR="00BD09E2" w:rsidRPr="00FE6CB4">
        <w:rPr>
          <w:rFonts w:asciiTheme="majorHAnsi" w:eastAsia="Times New Roman" w:hAnsiTheme="majorHAnsi" w:cs="Arial"/>
          <w:color w:val="auto"/>
          <w:sz w:val="24"/>
          <w:szCs w:val="24"/>
        </w:rPr>
        <w:t xml:space="preserve">- </w:t>
      </w:r>
      <w:r w:rsidRPr="00FE6CB4">
        <w:rPr>
          <w:rFonts w:asciiTheme="majorHAnsi" w:eastAsia="Times New Roman" w:hAnsiTheme="majorHAnsi" w:cs="Arial"/>
          <w:color w:val="auto"/>
          <w:sz w:val="24"/>
          <w:szCs w:val="24"/>
        </w:rPr>
        <w:t>sjeverni dio, UP "Stara Varoš" – izmjene i dopune, UP "Stara Varoš - dio zone B" – izmjene i dopune, UP "Stara Varoš - dio zone A’’, DUP "Stara Varoš - blok 7’’, DUP "Drač - Cvijetin brijeg", DUP "Drač - putnički terminal", DUP "Drpe Mandića", UP "Drpe Mandića - zona B", DUP "B</w:t>
      </w:r>
      <w:r w:rsidR="00BD09E2" w:rsidRPr="00FE6CB4">
        <w:rPr>
          <w:rFonts w:asciiTheme="majorHAnsi" w:eastAsia="Times New Roman" w:hAnsiTheme="majorHAnsi" w:cs="Arial"/>
          <w:color w:val="auto"/>
          <w:sz w:val="24"/>
          <w:szCs w:val="24"/>
        </w:rPr>
        <w:t>lok 14" – izmjene i dopune, DUP</w:t>
      </w:r>
      <w:r w:rsidRPr="00FE6CB4">
        <w:rPr>
          <w:rFonts w:asciiTheme="majorHAnsi" w:eastAsia="Times New Roman" w:hAnsiTheme="majorHAnsi" w:cs="Arial"/>
          <w:color w:val="auto"/>
          <w:sz w:val="24"/>
          <w:szCs w:val="24"/>
        </w:rPr>
        <w:t xml:space="preserve"> "Pobrežje – Zone D i E"– izmjene i dopune, DUP "Pobrežje – zona F" – izmjene i dopune, DUP "Gorica D", DUP "Park šuma Gorica", UP "Mauzolej partizanu borcu", DUP "Momišići A zona 1", DUP "Momišići A zona 2" i DUP "Momišići A – dio zone 5” – izmjene i dopune .</w:t>
      </w:r>
    </w:p>
    <w:p w:rsidR="00182EB0" w:rsidRPr="00FE6CB4" w:rsidRDefault="00182EB0" w:rsidP="00FE6CB4">
      <w:pPr>
        <w:widowControl w:val="0"/>
        <w:jc w:val="both"/>
        <w:rPr>
          <w:rFonts w:asciiTheme="majorHAnsi" w:eastAsia="Times New Roman" w:hAnsiTheme="majorHAnsi" w:cs="Arial"/>
          <w:color w:val="auto"/>
          <w:sz w:val="24"/>
          <w:szCs w:val="24"/>
        </w:rPr>
      </w:pPr>
    </w:p>
    <w:p w:rsidR="00182EB0" w:rsidRPr="00FE6CB4" w:rsidRDefault="00182EB0" w:rsidP="00FE6CB4">
      <w:pPr>
        <w:widowControl w:val="0"/>
        <w:jc w:val="both"/>
        <w:rPr>
          <w:rFonts w:asciiTheme="majorHAnsi" w:eastAsia="Times New Roman" w:hAnsiTheme="majorHAnsi" w:cs="Arial"/>
          <w:b/>
          <w:color w:val="auto"/>
          <w:sz w:val="24"/>
          <w:szCs w:val="24"/>
          <w:u w:val="single"/>
        </w:rPr>
      </w:pPr>
      <w:r w:rsidRPr="00FE6CB4">
        <w:rPr>
          <w:rFonts w:asciiTheme="majorHAnsi" w:eastAsia="Times New Roman" w:hAnsiTheme="majorHAnsi" w:cs="Arial"/>
          <w:b/>
          <w:color w:val="auto"/>
          <w:sz w:val="24"/>
          <w:szCs w:val="24"/>
          <w:u w:val="single"/>
        </w:rPr>
        <w:t>DRUGA ZONA</w:t>
      </w:r>
      <w:r w:rsidR="00594F14" w:rsidRPr="00FE6CB4">
        <w:rPr>
          <w:rFonts w:asciiTheme="majorHAnsi" w:eastAsia="Times New Roman" w:hAnsiTheme="majorHAnsi" w:cs="Arial"/>
          <w:b/>
          <w:color w:val="auto"/>
          <w:sz w:val="24"/>
          <w:szCs w:val="24"/>
          <w:u w:val="single"/>
        </w:rPr>
        <w:t xml:space="preserve"> (II)</w:t>
      </w:r>
    </w:p>
    <w:p w:rsidR="00182EB0" w:rsidRPr="00FE6CB4" w:rsidRDefault="00182EB0" w:rsidP="00FE6CB4">
      <w:pPr>
        <w:widowControl w:val="0"/>
        <w:jc w:val="both"/>
        <w:rPr>
          <w:rFonts w:asciiTheme="majorHAnsi" w:eastAsia="Times New Roman" w:hAnsiTheme="majorHAnsi" w:cs="Arial"/>
          <w:color w:val="auto"/>
          <w:sz w:val="24"/>
          <w:szCs w:val="24"/>
        </w:rPr>
      </w:pPr>
      <w:r w:rsidRPr="00FE6CB4">
        <w:rPr>
          <w:rFonts w:asciiTheme="majorHAnsi" w:eastAsia="Times New Roman" w:hAnsiTheme="majorHAnsi" w:cs="Arial"/>
          <w:color w:val="auto"/>
          <w:sz w:val="24"/>
          <w:szCs w:val="24"/>
        </w:rPr>
        <w:t>Obuhvata prostor koji zahvata:</w:t>
      </w:r>
    </w:p>
    <w:p w:rsidR="00182EB0" w:rsidRPr="00FE6CB4" w:rsidRDefault="00182EB0" w:rsidP="00FE6CB4">
      <w:pPr>
        <w:widowControl w:val="0"/>
        <w:jc w:val="both"/>
        <w:rPr>
          <w:rFonts w:asciiTheme="majorHAnsi" w:eastAsia="Times New Roman" w:hAnsiTheme="majorHAnsi" w:cs="Arial"/>
          <w:color w:val="auto"/>
          <w:sz w:val="24"/>
          <w:szCs w:val="24"/>
        </w:rPr>
      </w:pPr>
      <w:r w:rsidRPr="00FE6CB4">
        <w:rPr>
          <w:rFonts w:asciiTheme="majorHAnsi" w:eastAsia="Times New Roman" w:hAnsiTheme="majorHAnsi" w:cs="Arial"/>
          <w:color w:val="auto"/>
          <w:sz w:val="24"/>
          <w:szCs w:val="24"/>
        </w:rPr>
        <w:t>DUP "Momišići C" – izmjene i dopune, DUP "Momišići A", DUP "Momišići A - dio Zone 1" – izmjene i dopune, DUP "Momišići B" (osim Bloka A), DUP "Zagorič 3 i 4", DUP "Zagorič 3 i 4, zona 2" – izmjene i dopune, DUP "Zagorič 1", DUP "Zagorič 1 - dio zone A", DUP "Zagorič 2" – izmjene i dopune, DUP "Prvoborac"</w:t>
      </w:r>
      <w:r w:rsidR="00FE0F66" w:rsidRPr="00FE6CB4">
        <w:rPr>
          <w:rFonts w:asciiTheme="majorHAnsi" w:eastAsia="Times New Roman" w:hAnsiTheme="majorHAnsi" w:cs="Arial"/>
          <w:color w:val="auto"/>
          <w:sz w:val="24"/>
          <w:szCs w:val="24"/>
        </w:rPr>
        <w:t xml:space="preserve"> </w:t>
      </w:r>
      <w:r w:rsidRPr="00FE6CB4">
        <w:rPr>
          <w:rFonts w:asciiTheme="majorHAnsi" w:eastAsia="Times New Roman" w:hAnsiTheme="majorHAnsi" w:cs="Arial"/>
          <w:color w:val="auto"/>
          <w:sz w:val="24"/>
          <w:szCs w:val="24"/>
        </w:rPr>
        <w:t>–</w:t>
      </w:r>
      <w:r w:rsidR="00FE0F66" w:rsidRPr="00FE6CB4">
        <w:rPr>
          <w:rFonts w:asciiTheme="majorHAnsi" w:eastAsia="Times New Roman" w:hAnsiTheme="majorHAnsi" w:cs="Arial"/>
          <w:color w:val="auto"/>
          <w:sz w:val="24"/>
          <w:szCs w:val="24"/>
        </w:rPr>
        <w:t xml:space="preserve"> </w:t>
      </w:r>
      <w:r w:rsidRPr="00FE6CB4">
        <w:rPr>
          <w:rFonts w:asciiTheme="majorHAnsi" w:eastAsia="Times New Roman" w:hAnsiTheme="majorHAnsi" w:cs="Arial"/>
          <w:color w:val="auto"/>
          <w:sz w:val="24"/>
          <w:szCs w:val="24"/>
        </w:rPr>
        <w:t>izmjene i dopune, DUP "Masline" – izmjene i dopune, DUP "Ibričevina", DUP "Konik - Sanacioni plan" – izmjene i dopune, DUP "Konik - Sanacioni plan"(mali) – izmjene i dopune, DUP "Servisno skladišna zona uz željezničku prugu - Stari aerodrom" – izmjene i dopune, DUP "Konik - Stari aerodrom" – izmjene i dopune , DUP "Konik - Stari Aerodrom faza III", DUP ‘’Konik - Stari aerodrom faza III dio’’– izmjene i dopune, DUP "Servisno skladišna zona uz željezničku prugu - Vatrogasni dom"– izmjene i dopune, DUP "Servisno skladišna zona" – izmjene i dopune , DUP "Blok 18 i 19", DUP "Blok 35 i 36"– izmjene i dopune,</w:t>
      </w:r>
      <w:r w:rsidR="00FE0F66" w:rsidRPr="00FE6CB4">
        <w:rPr>
          <w:rFonts w:asciiTheme="majorHAnsi" w:eastAsia="Times New Roman" w:hAnsiTheme="majorHAnsi" w:cs="Arial"/>
          <w:color w:val="auto"/>
          <w:sz w:val="24"/>
          <w:szCs w:val="24"/>
        </w:rPr>
        <w:t xml:space="preserve"> </w:t>
      </w:r>
      <w:r w:rsidRPr="00FE6CB4">
        <w:rPr>
          <w:rFonts w:asciiTheme="majorHAnsi" w:eastAsia="Times New Roman" w:hAnsiTheme="majorHAnsi" w:cs="Arial"/>
          <w:color w:val="auto"/>
          <w:sz w:val="24"/>
          <w:szCs w:val="24"/>
        </w:rPr>
        <w:t xml:space="preserve">DUP “Pobrežje - zone A, B i C”– izmjene i dopune,  DUP "Pobrežje - zona G" – izmjene i dopune,  DUP "Stambena zajednica </w:t>
      </w:r>
      <w:r w:rsidR="00FE0F66" w:rsidRPr="00FE6CB4">
        <w:rPr>
          <w:rFonts w:asciiTheme="majorHAnsi" w:eastAsia="Times New Roman" w:hAnsiTheme="majorHAnsi" w:cs="Arial"/>
          <w:color w:val="auto"/>
          <w:sz w:val="24"/>
          <w:szCs w:val="24"/>
        </w:rPr>
        <w:t>VI</w:t>
      </w:r>
      <w:r w:rsidRPr="00FE6CB4">
        <w:rPr>
          <w:rFonts w:asciiTheme="majorHAnsi" w:eastAsia="Times New Roman" w:hAnsiTheme="majorHAnsi" w:cs="Arial"/>
          <w:color w:val="auto"/>
          <w:sz w:val="24"/>
          <w:szCs w:val="24"/>
        </w:rPr>
        <w:t xml:space="preserve"> - Stara Varoš"</w:t>
      </w:r>
      <w:r w:rsidR="00FE0F66" w:rsidRPr="00FE6CB4">
        <w:rPr>
          <w:rFonts w:asciiTheme="majorHAnsi" w:eastAsia="Times New Roman" w:hAnsiTheme="majorHAnsi" w:cs="Arial"/>
          <w:color w:val="auto"/>
          <w:sz w:val="24"/>
          <w:szCs w:val="24"/>
        </w:rPr>
        <w:t xml:space="preserve"> </w:t>
      </w:r>
      <w:r w:rsidRPr="00FE6CB4">
        <w:rPr>
          <w:rFonts w:asciiTheme="majorHAnsi" w:eastAsia="Times New Roman" w:hAnsiTheme="majorHAnsi" w:cs="Arial"/>
          <w:color w:val="auto"/>
          <w:sz w:val="24"/>
          <w:szCs w:val="24"/>
        </w:rPr>
        <w:t xml:space="preserve">– izmjene i dopune, DUP "Stambena zajednica </w:t>
      </w:r>
      <w:r w:rsidR="00FE0F66" w:rsidRPr="00FE6CB4">
        <w:rPr>
          <w:rFonts w:asciiTheme="majorHAnsi" w:eastAsia="Times New Roman" w:hAnsiTheme="majorHAnsi" w:cs="Arial"/>
          <w:color w:val="auto"/>
          <w:sz w:val="24"/>
          <w:szCs w:val="24"/>
        </w:rPr>
        <w:t>VII</w:t>
      </w:r>
      <w:r w:rsidRPr="00FE6CB4">
        <w:rPr>
          <w:rFonts w:asciiTheme="majorHAnsi" w:eastAsia="Times New Roman" w:hAnsiTheme="majorHAnsi" w:cs="Arial"/>
          <w:color w:val="auto"/>
          <w:sz w:val="24"/>
          <w:szCs w:val="24"/>
        </w:rPr>
        <w:t xml:space="preserve"> - Stara Varoš" – izmjene i dopune, </w:t>
      </w:r>
      <w:r w:rsidR="00FE0F66" w:rsidRPr="00FE6CB4">
        <w:rPr>
          <w:rFonts w:asciiTheme="majorHAnsi" w:eastAsia="Times New Roman" w:hAnsiTheme="majorHAnsi" w:cs="Arial"/>
          <w:color w:val="auto"/>
          <w:sz w:val="24"/>
          <w:szCs w:val="24"/>
        </w:rPr>
        <w:t xml:space="preserve">DUP "Zabjelo 8"– izmjene i dopune, UP "Hemomont"– izmjene i dopune, DUP "Titex",  </w:t>
      </w:r>
      <w:r w:rsidRPr="00FE6CB4">
        <w:rPr>
          <w:rFonts w:asciiTheme="majorHAnsi" w:eastAsia="Times New Roman" w:hAnsiTheme="majorHAnsi" w:cs="Arial"/>
          <w:color w:val="auto"/>
          <w:sz w:val="24"/>
          <w:szCs w:val="24"/>
        </w:rPr>
        <w:t>DUP "Zabjelo 9", DUP "Zabjelo Ljubović" – izmjene i dopune, DUP "Čepurci", DUP ‘’Čepurci – dio’’– izmjene i dopune, DUP "Gornja Gorica 2 – Zona A" – izmjene i dopune, DUP "Gornja Gorica 2 -</w:t>
      </w:r>
      <w:r w:rsidR="00FE0F66" w:rsidRPr="00FE6CB4">
        <w:rPr>
          <w:rFonts w:asciiTheme="majorHAnsi" w:eastAsia="Times New Roman" w:hAnsiTheme="majorHAnsi" w:cs="Arial"/>
          <w:color w:val="auto"/>
          <w:sz w:val="24"/>
          <w:szCs w:val="24"/>
        </w:rPr>
        <w:t xml:space="preserve"> dio zone B’’– izmjene i dopune</w:t>
      </w:r>
      <w:r w:rsidR="00A44584" w:rsidRPr="00FE6CB4">
        <w:rPr>
          <w:rFonts w:asciiTheme="majorHAnsi" w:eastAsia="Times New Roman" w:hAnsiTheme="majorHAnsi" w:cs="Arial"/>
          <w:color w:val="auto"/>
          <w:sz w:val="24"/>
          <w:szCs w:val="24"/>
        </w:rPr>
        <w:t xml:space="preserve"> i</w:t>
      </w:r>
      <w:r w:rsidR="00FE0F66" w:rsidRPr="00FE6CB4">
        <w:rPr>
          <w:rFonts w:asciiTheme="majorHAnsi" w:eastAsia="Times New Roman" w:hAnsiTheme="majorHAnsi" w:cs="Arial"/>
          <w:color w:val="auto"/>
          <w:sz w:val="24"/>
          <w:szCs w:val="24"/>
        </w:rPr>
        <w:t xml:space="preserve"> DUP</w:t>
      </w:r>
      <w:r w:rsidRPr="00FE6CB4">
        <w:rPr>
          <w:rFonts w:asciiTheme="majorHAnsi" w:eastAsia="Times New Roman" w:hAnsiTheme="majorHAnsi" w:cs="Arial"/>
          <w:color w:val="auto"/>
          <w:sz w:val="24"/>
          <w:szCs w:val="24"/>
        </w:rPr>
        <w:t xml:space="preserve"> Sadin</w:t>
      </w:r>
      <w:r w:rsidR="00FE0F66" w:rsidRPr="00FE6CB4">
        <w:rPr>
          <w:rFonts w:asciiTheme="majorHAnsi" w:eastAsia="Times New Roman" w:hAnsiTheme="majorHAnsi" w:cs="Arial"/>
          <w:color w:val="auto"/>
          <w:sz w:val="24"/>
          <w:szCs w:val="24"/>
        </w:rPr>
        <w:t>e</w:t>
      </w:r>
      <w:r w:rsidRPr="00FE6CB4">
        <w:rPr>
          <w:rFonts w:asciiTheme="majorHAnsi" w:eastAsia="Times New Roman" w:hAnsiTheme="majorHAnsi" w:cs="Arial"/>
          <w:color w:val="auto"/>
          <w:sz w:val="24"/>
          <w:szCs w:val="24"/>
        </w:rPr>
        <w:t xml:space="preserve"> sa susjednom površinom koja je PUP-om planirana za PUJ (pejzažno uređenje javne namjene)</w:t>
      </w:r>
      <w:r w:rsidR="00FE0F66" w:rsidRPr="00FE6CB4">
        <w:rPr>
          <w:rFonts w:asciiTheme="majorHAnsi" w:eastAsia="Times New Roman" w:hAnsiTheme="majorHAnsi" w:cs="Arial"/>
          <w:color w:val="auto"/>
          <w:sz w:val="24"/>
          <w:szCs w:val="24"/>
        </w:rPr>
        <w:t>.</w:t>
      </w:r>
    </w:p>
    <w:p w:rsidR="00F5014C" w:rsidRPr="00FE6CB4" w:rsidRDefault="00F5014C" w:rsidP="00FE6CB4">
      <w:pPr>
        <w:widowControl w:val="0"/>
        <w:jc w:val="both"/>
        <w:rPr>
          <w:rFonts w:asciiTheme="majorHAnsi" w:eastAsia="Times New Roman" w:hAnsiTheme="majorHAnsi" w:cs="Arial"/>
          <w:color w:val="auto"/>
          <w:sz w:val="24"/>
          <w:szCs w:val="24"/>
        </w:rPr>
      </w:pPr>
    </w:p>
    <w:p w:rsidR="00182EB0" w:rsidRPr="00FE6CB4" w:rsidRDefault="00182EB0" w:rsidP="00FE6CB4">
      <w:pPr>
        <w:widowControl w:val="0"/>
        <w:jc w:val="both"/>
        <w:rPr>
          <w:rFonts w:asciiTheme="majorHAnsi" w:eastAsia="Times New Roman" w:hAnsiTheme="majorHAnsi" w:cs="Arial"/>
          <w:b/>
          <w:color w:val="auto"/>
          <w:sz w:val="24"/>
          <w:szCs w:val="24"/>
          <w:u w:val="single"/>
        </w:rPr>
      </w:pPr>
      <w:r w:rsidRPr="00FE6CB4">
        <w:rPr>
          <w:rFonts w:asciiTheme="majorHAnsi" w:eastAsia="Times New Roman" w:hAnsiTheme="majorHAnsi" w:cs="Arial"/>
          <w:b/>
          <w:color w:val="auto"/>
          <w:sz w:val="24"/>
          <w:szCs w:val="24"/>
          <w:u w:val="single"/>
        </w:rPr>
        <w:t>TREĆA ZONA</w:t>
      </w:r>
      <w:r w:rsidR="00594F14" w:rsidRPr="00FE6CB4">
        <w:rPr>
          <w:rFonts w:asciiTheme="majorHAnsi" w:eastAsia="Times New Roman" w:hAnsiTheme="majorHAnsi" w:cs="Arial"/>
          <w:b/>
          <w:color w:val="auto"/>
          <w:sz w:val="24"/>
          <w:szCs w:val="24"/>
          <w:u w:val="single"/>
        </w:rPr>
        <w:t xml:space="preserve"> (III)</w:t>
      </w:r>
    </w:p>
    <w:p w:rsidR="00182EB0" w:rsidRPr="00FE6CB4" w:rsidRDefault="00182EB0" w:rsidP="00FE6CB4">
      <w:pPr>
        <w:widowControl w:val="0"/>
        <w:jc w:val="both"/>
        <w:rPr>
          <w:rFonts w:asciiTheme="majorHAnsi" w:eastAsia="Times New Roman" w:hAnsiTheme="majorHAnsi" w:cs="Arial"/>
          <w:color w:val="auto"/>
          <w:sz w:val="24"/>
          <w:szCs w:val="24"/>
        </w:rPr>
      </w:pPr>
      <w:r w:rsidRPr="00FE6CB4">
        <w:rPr>
          <w:rFonts w:asciiTheme="majorHAnsi" w:eastAsia="Times New Roman" w:hAnsiTheme="majorHAnsi" w:cs="Arial"/>
          <w:color w:val="auto"/>
          <w:sz w:val="24"/>
          <w:szCs w:val="24"/>
        </w:rPr>
        <w:t>Obuhvata prostor koji zahvata:</w:t>
      </w:r>
    </w:p>
    <w:p w:rsidR="00182EB0" w:rsidRPr="00FE6CB4" w:rsidRDefault="00182EB0" w:rsidP="00FE6CB4">
      <w:pPr>
        <w:widowControl w:val="0"/>
        <w:jc w:val="both"/>
        <w:rPr>
          <w:rFonts w:asciiTheme="majorHAnsi" w:eastAsia="Times New Roman" w:hAnsiTheme="majorHAnsi" w:cs="Arial"/>
          <w:color w:val="auto"/>
          <w:sz w:val="24"/>
          <w:szCs w:val="24"/>
        </w:rPr>
      </w:pPr>
      <w:r w:rsidRPr="00FE6CB4">
        <w:rPr>
          <w:rFonts w:asciiTheme="majorHAnsi" w:eastAsia="Times New Roman" w:hAnsiTheme="majorHAnsi" w:cs="Arial"/>
          <w:color w:val="auto"/>
          <w:sz w:val="24"/>
          <w:szCs w:val="24"/>
        </w:rPr>
        <w:t xml:space="preserve">DUP "Agroindustrijska zona", </w:t>
      </w:r>
      <w:r w:rsidR="00FE0F66" w:rsidRPr="00FE6CB4">
        <w:rPr>
          <w:rFonts w:asciiTheme="majorHAnsi" w:eastAsia="Times New Roman" w:hAnsiTheme="majorHAnsi" w:cs="Arial"/>
          <w:color w:val="auto"/>
          <w:sz w:val="24"/>
          <w:szCs w:val="24"/>
        </w:rPr>
        <w:t xml:space="preserve">DUP "Industrijska zona - dio planske zone 12.5"– izmjene i dopune, LSL ,,Central biznis distrikt’’, </w:t>
      </w:r>
      <w:r w:rsidRPr="00FE6CB4">
        <w:rPr>
          <w:rFonts w:asciiTheme="majorHAnsi" w:eastAsia="Times New Roman" w:hAnsiTheme="majorHAnsi" w:cs="Arial"/>
          <w:color w:val="auto"/>
          <w:sz w:val="24"/>
          <w:szCs w:val="24"/>
        </w:rPr>
        <w:t xml:space="preserve">DUP "Zelenika"– izmjene i dopune, DUP "Zabjelo Zelenika"– izmjene i dopune, DUP "Zabjelo B - zona stanovanja", DUP "Zabjelo B1", DUP "Zabjelo B2"– izmjene i dopune, DUP "Zabjelo B" (Tarine garaže),  </w:t>
      </w:r>
      <w:r w:rsidR="00FE0F66" w:rsidRPr="00FE6CB4">
        <w:rPr>
          <w:rFonts w:asciiTheme="majorHAnsi" w:eastAsia="Times New Roman" w:hAnsiTheme="majorHAnsi" w:cs="Arial"/>
          <w:color w:val="auto"/>
          <w:sz w:val="24"/>
          <w:szCs w:val="24"/>
        </w:rPr>
        <w:t xml:space="preserve">DUP ,,Dahna 1’’, DUP ,,Dahna’’ – izmjene i dopune, </w:t>
      </w:r>
      <w:r w:rsidR="00A44584" w:rsidRPr="00FE6CB4">
        <w:rPr>
          <w:rFonts w:asciiTheme="majorHAnsi" w:eastAsia="Times New Roman" w:hAnsiTheme="majorHAnsi" w:cs="Arial"/>
          <w:color w:val="auto"/>
          <w:sz w:val="24"/>
          <w:szCs w:val="24"/>
        </w:rPr>
        <w:t xml:space="preserve">Dup ,,Donja Gorica za zahvat koridora Cetinskog puta i južne obilaznice’’, DUP "Gornja Gorica 1"– izmjene i dopune, </w:t>
      </w:r>
      <w:r w:rsidRPr="00FE6CB4">
        <w:rPr>
          <w:rFonts w:asciiTheme="majorHAnsi" w:eastAsia="Times New Roman" w:hAnsiTheme="majorHAnsi" w:cs="Arial"/>
          <w:color w:val="auto"/>
          <w:sz w:val="24"/>
          <w:szCs w:val="24"/>
        </w:rPr>
        <w:t xml:space="preserve">DUP "Tološi 1"– izmjene i dopune, </w:t>
      </w:r>
      <w:r w:rsidR="00A44584" w:rsidRPr="00FE6CB4">
        <w:rPr>
          <w:rFonts w:asciiTheme="majorHAnsi" w:eastAsia="Times New Roman" w:hAnsiTheme="majorHAnsi" w:cs="Arial"/>
          <w:color w:val="auto"/>
          <w:sz w:val="24"/>
          <w:szCs w:val="24"/>
        </w:rPr>
        <w:t>DUP ‘’Tološi 2 – dio’’– izmjene i dopune</w:t>
      </w:r>
      <w:r w:rsidR="00861B73" w:rsidRPr="00FE6CB4">
        <w:rPr>
          <w:rFonts w:asciiTheme="majorHAnsi" w:eastAsia="Times New Roman" w:hAnsiTheme="majorHAnsi" w:cs="Arial"/>
          <w:color w:val="auto"/>
          <w:sz w:val="24"/>
          <w:szCs w:val="24"/>
        </w:rPr>
        <w:t>, zahvat GUR-a ,,Velje brdo’’</w:t>
      </w:r>
      <w:r w:rsidR="00A44584" w:rsidRPr="00FE6CB4">
        <w:rPr>
          <w:rFonts w:asciiTheme="majorHAnsi" w:eastAsia="Times New Roman" w:hAnsiTheme="majorHAnsi" w:cs="Arial"/>
          <w:color w:val="auto"/>
          <w:sz w:val="24"/>
          <w:szCs w:val="24"/>
        </w:rPr>
        <w:t xml:space="preserve"> i</w:t>
      </w:r>
      <w:r w:rsidRPr="00FE6CB4">
        <w:rPr>
          <w:rFonts w:asciiTheme="majorHAnsi" w:eastAsia="Times New Roman" w:hAnsiTheme="majorHAnsi" w:cs="Arial"/>
          <w:color w:val="auto"/>
          <w:sz w:val="24"/>
          <w:szCs w:val="24"/>
        </w:rPr>
        <w:t xml:space="preserve"> UP "Kasarna Masline".</w:t>
      </w:r>
    </w:p>
    <w:p w:rsidR="00182EB0" w:rsidRPr="00FE6CB4" w:rsidRDefault="00182EB0" w:rsidP="00FE6CB4">
      <w:pPr>
        <w:widowControl w:val="0"/>
        <w:jc w:val="both"/>
        <w:rPr>
          <w:rFonts w:asciiTheme="majorHAnsi" w:eastAsia="Times New Roman" w:hAnsiTheme="majorHAnsi" w:cs="Arial"/>
          <w:color w:val="auto"/>
          <w:sz w:val="24"/>
          <w:szCs w:val="24"/>
        </w:rPr>
      </w:pPr>
    </w:p>
    <w:p w:rsidR="00182EB0" w:rsidRPr="00FE6CB4" w:rsidRDefault="00182EB0" w:rsidP="00FE6CB4">
      <w:pPr>
        <w:widowControl w:val="0"/>
        <w:jc w:val="both"/>
        <w:rPr>
          <w:rFonts w:asciiTheme="majorHAnsi" w:eastAsia="Times New Roman" w:hAnsiTheme="majorHAnsi" w:cs="Arial"/>
          <w:b/>
          <w:color w:val="auto"/>
          <w:sz w:val="24"/>
          <w:szCs w:val="24"/>
          <w:u w:val="single"/>
        </w:rPr>
      </w:pPr>
      <w:r w:rsidRPr="00FE6CB4">
        <w:rPr>
          <w:rFonts w:asciiTheme="majorHAnsi" w:eastAsia="Times New Roman" w:hAnsiTheme="majorHAnsi" w:cs="Arial"/>
          <w:b/>
          <w:color w:val="auto"/>
          <w:sz w:val="24"/>
          <w:szCs w:val="24"/>
          <w:u w:val="single"/>
        </w:rPr>
        <w:t>ČETVRTA ZONA</w:t>
      </w:r>
      <w:r w:rsidR="00594F14" w:rsidRPr="00FE6CB4">
        <w:rPr>
          <w:rFonts w:asciiTheme="majorHAnsi" w:eastAsia="Times New Roman" w:hAnsiTheme="majorHAnsi" w:cs="Arial"/>
          <w:b/>
          <w:color w:val="auto"/>
          <w:sz w:val="24"/>
          <w:szCs w:val="24"/>
          <w:u w:val="single"/>
        </w:rPr>
        <w:t xml:space="preserve"> (IV)</w:t>
      </w:r>
    </w:p>
    <w:p w:rsidR="00182EB0" w:rsidRPr="00FE6CB4" w:rsidRDefault="00182EB0" w:rsidP="00FE6CB4">
      <w:pPr>
        <w:widowControl w:val="0"/>
        <w:jc w:val="both"/>
        <w:rPr>
          <w:rFonts w:asciiTheme="majorHAnsi" w:eastAsia="Times New Roman" w:hAnsiTheme="majorHAnsi" w:cs="Arial"/>
          <w:color w:val="auto"/>
          <w:sz w:val="24"/>
          <w:szCs w:val="24"/>
        </w:rPr>
      </w:pPr>
      <w:r w:rsidRPr="00FE6CB4">
        <w:rPr>
          <w:rFonts w:asciiTheme="majorHAnsi" w:eastAsia="Times New Roman" w:hAnsiTheme="majorHAnsi" w:cs="Arial"/>
          <w:color w:val="auto"/>
          <w:sz w:val="24"/>
          <w:szCs w:val="24"/>
        </w:rPr>
        <w:t>Obuhvata prostor koji zahvata:</w:t>
      </w:r>
    </w:p>
    <w:p w:rsidR="00182EB0" w:rsidRPr="00FE6CB4" w:rsidRDefault="00182EB0" w:rsidP="00FE6CB4">
      <w:pPr>
        <w:widowControl w:val="0"/>
        <w:jc w:val="both"/>
        <w:rPr>
          <w:rFonts w:asciiTheme="majorHAnsi" w:eastAsia="Times New Roman" w:hAnsiTheme="majorHAnsi" w:cs="Arial"/>
          <w:color w:val="auto"/>
          <w:sz w:val="24"/>
          <w:szCs w:val="24"/>
        </w:rPr>
      </w:pPr>
      <w:r w:rsidRPr="00FE6CB4">
        <w:rPr>
          <w:rFonts w:asciiTheme="majorHAnsi" w:eastAsia="Times New Roman" w:hAnsiTheme="majorHAnsi" w:cs="Arial"/>
          <w:color w:val="auto"/>
          <w:sz w:val="24"/>
          <w:szCs w:val="24"/>
        </w:rPr>
        <w:t xml:space="preserve">DUP "Industrijska zona KAP-a"– izmjene i dopune, </w:t>
      </w:r>
      <w:r w:rsidR="00A44584" w:rsidRPr="00FE6CB4">
        <w:rPr>
          <w:rFonts w:asciiTheme="majorHAnsi" w:eastAsia="Times New Roman" w:hAnsiTheme="majorHAnsi" w:cs="Arial"/>
          <w:color w:val="auto"/>
          <w:sz w:val="24"/>
          <w:szCs w:val="24"/>
        </w:rPr>
        <w:t xml:space="preserve">DUP "Dajbabska gora", </w:t>
      </w:r>
      <w:r w:rsidR="002E5621" w:rsidRPr="00FE6CB4">
        <w:rPr>
          <w:rFonts w:asciiTheme="majorHAnsi" w:eastAsia="Times New Roman" w:hAnsiTheme="majorHAnsi" w:cs="Arial"/>
          <w:color w:val="auto"/>
          <w:sz w:val="24"/>
          <w:szCs w:val="24"/>
        </w:rPr>
        <w:t xml:space="preserve">DUP "Zabjelo 10", </w:t>
      </w:r>
      <w:r w:rsidR="00A44584" w:rsidRPr="00FE6CB4">
        <w:rPr>
          <w:rFonts w:asciiTheme="majorHAnsi" w:eastAsia="Times New Roman" w:hAnsiTheme="majorHAnsi" w:cs="Arial"/>
          <w:color w:val="auto"/>
          <w:sz w:val="24"/>
          <w:szCs w:val="24"/>
        </w:rPr>
        <w:t xml:space="preserve">DUP ‘’Dahna 2’’, DUP "Dajbabe Zelenika - dio planske zone 11", DUP ‘’Poslovna zona Ćemovsko polje’’, DUP "Industrijska zona A", DUP "Servisno skladišna zona sa ranžirnom stanicom", DUP ,,Tuški put’’, </w:t>
      </w:r>
      <w:r w:rsidRPr="00FE6CB4">
        <w:rPr>
          <w:rFonts w:asciiTheme="majorHAnsi" w:eastAsia="Times New Roman" w:hAnsiTheme="majorHAnsi" w:cs="Arial"/>
          <w:color w:val="auto"/>
          <w:sz w:val="24"/>
          <w:szCs w:val="24"/>
        </w:rPr>
        <w:t>DUP "Konik - Vrela Ribnička", DUP "Konik - Vrela Ribnička II", DUP "Murtovina"</w:t>
      </w:r>
      <w:r w:rsidR="00A44584" w:rsidRPr="00FE6CB4">
        <w:rPr>
          <w:rFonts w:asciiTheme="majorHAnsi" w:eastAsia="Times New Roman" w:hAnsiTheme="majorHAnsi" w:cs="Arial"/>
          <w:color w:val="auto"/>
          <w:sz w:val="24"/>
          <w:szCs w:val="24"/>
        </w:rPr>
        <w:t xml:space="preserve"> </w:t>
      </w:r>
      <w:r w:rsidRPr="00FE6CB4">
        <w:rPr>
          <w:rFonts w:asciiTheme="majorHAnsi" w:eastAsia="Times New Roman" w:hAnsiTheme="majorHAnsi" w:cs="Arial"/>
          <w:color w:val="auto"/>
          <w:sz w:val="24"/>
          <w:szCs w:val="24"/>
        </w:rPr>
        <w:t xml:space="preserve">– izmjene i dopune, DUP ‘’Murtovina 2’’, DUP "Zlatica B" – izmjene i dopune, </w:t>
      </w:r>
      <w:r w:rsidR="00A44584" w:rsidRPr="00FE6CB4">
        <w:rPr>
          <w:rFonts w:asciiTheme="majorHAnsi" w:eastAsia="Times New Roman" w:hAnsiTheme="majorHAnsi" w:cs="Arial"/>
          <w:color w:val="auto"/>
          <w:sz w:val="24"/>
          <w:szCs w:val="24"/>
        </w:rPr>
        <w:t xml:space="preserve">DUP "Zagorič 5", </w:t>
      </w:r>
      <w:r w:rsidR="00324A59" w:rsidRPr="00FE6CB4">
        <w:rPr>
          <w:rFonts w:asciiTheme="majorHAnsi" w:eastAsia="Times New Roman" w:hAnsiTheme="majorHAnsi" w:cs="Arial"/>
          <w:color w:val="auto"/>
          <w:sz w:val="24"/>
          <w:szCs w:val="24"/>
        </w:rPr>
        <w:t xml:space="preserve">sanacioi </w:t>
      </w:r>
      <w:r w:rsidR="00A44584" w:rsidRPr="00FE6CB4">
        <w:rPr>
          <w:rFonts w:asciiTheme="majorHAnsi" w:eastAsia="Times New Roman" w:hAnsiTheme="majorHAnsi" w:cs="Arial"/>
          <w:color w:val="auto"/>
          <w:sz w:val="24"/>
          <w:szCs w:val="24"/>
        </w:rPr>
        <w:t xml:space="preserve">DUP "Zagorič 5B", </w:t>
      </w:r>
      <w:r w:rsidRPr="00FE6CB4">
        <w:rPr>
          <w:rFonts w:asciiTheme="majorHAnsi" w:eastAsia="Times New Roman" w:hAnsiTheme="majorHAnsi" w:cs="Arial"/>
          <w:color w:val="auto"/>
          <w:sz w:val="24"/>
          <w:szCs w:val="24"/>
        </w:rPr>
        <w:t>DUP "Tološi 2", DUP "Vranići 1"</w:t>
      </w:r>
      <w:r w:rsidR="002E5621" w:rsidRPr="00FE6CB4">
        <w:rPr>
          <w:rFonts w:asciiTheme="majorHAnsi" w:eastAsia="Times New Roman" w:hAnsiTheme="majorHAnsi" w:cs="Arial"/>
          <w:color w:val="auto"/>
          <w:sz w:val="24"/>
          <w:szCs w:val="24"/>
        </w:rPr>
        <w:t xml:space="preserve"> </w:t>
      </w:r>
      <w:r w:rsidRPr="00FE6CB4">
        <w:rPr>
          <w:rFonts w:asciiTheme="majorHAnsi" w:eastAsia="Times New Roman" w:hAnsiTheme="majorHAnsi" w:cs="Arial"/>
          <w:color w:val="auto"/>
          <w:sz w:val="24"/>
          <w:szCs w:val="24"/>
        </w:rPr>
        <w:t xml:space="preserve">– izmjene i dopune, DUP "Vranići 3 (sanacioni)", DUP "Vranićke njive", UP "Duklja", </w:t>
      </w:r>
      <w:r w:rsidR="002E5621" w:rsidRPr="00FE6CB4">
        <w:rPr>
          <w:rFonts w:asciiTheme="majorHAnsi" w:eastAsia="Times New Roman" w:hAnsiTheme="majorHAnsi" w:cs="Arial"/>
          <w:color w:val="auto"/>
          <w:sz w:val="24"/>
          <w:szCs w:val="24"/>
        </w:rPr>
        <w:t xml:space="preserve">DUP “Gornja Gorica 3 – dio B”, DUP "Gornja Gorica 3 - dio A", DUP ,,Donja Gorica’’, LSL ,,Mihinja’’, </w:t>
      </w:r>
      <w:r w:rsidR="00324A59" w:rsidRPr="00FE6CB4">
        <w:rPr>
          <w:rFonts w:asciiTheme="majorHAnsi" w:eastAsia="Times New Roman" w:hAnsiTheme="majorHAnsi" w:cs="Arial"/>
          <w:color w:val="auto"/>
          <w:sz w:val="24"/>
          <w:szCs w:val="24"/>
        </w:rPr>
        <w:t xml:space="preserve">DUP ,,Donji Kokoti’’, </w:t>
      </w:r>
      <w:r w:rsidR="002E5621" w:rsidRPr="00FE6CB4">
        <w:rPr>
          <w:rFonts w:asciiTheme="majorHAnsi" w:eastAsia="Times New Roman" w:hAnsiTheme="majorHAnsi" w:cs="Arial"/>
          <w:color w:val="auto"/>
          <w:sz w:val="24"/>
          <w:szCs w:val="24"/>
        </w:rPr>
        <w:t xml:space="preserve">UP ,,Novo groblje’’ </w:t>
      </w:r>
      <w:r w:rsidR="00F10C25" w:rsidRPr="00FE6CB4">
        <w:rPr>
          <w:rFonts w:asciiTheme="majorHAnsi" w:hAnsiTheme="majorHAnsi"/>
          <w:sz w:val="24"/>
          <w:szCs w:val="24"/>
        </w:rPr>
        <w:t>i prostor u zahvatu naselja Donji Kokoti uz UP ,,Novo groblje’’, koji je izmjenama PUP-a planiran za centralne djelatnosti,</w:t>
      </w:r>
      <w:r w:rsidR="002E5621" w:rsidRPr="00FE6CB4">
        <w:rPr>
          <w:rFonts w:asciiTheme="majorHAnsi" w:eastAsia="Times New Roman" w:hAnsiTheme="majorHAnsi" w:cs="Arial"/>
          <w:color w:val="auto"/>
          <w:sz w:val="24"/>
          <w:szCs w:val="24"/>
        </w:rPr>
        <w:t xml:space="preserve"> </w:t>
      </w:r>
      <w:r w:rsidRPr="00FE6CB4">
        <w:rPr>
          <w:rFonts w:asciiTheme="majorHAnsi" w:eastAsia="Times New Roman" w:hAnsiTheme="majorHAnsi" w:cs="Arial"/>
          <w:color w:val="auto"/>
          <w:sz w:val="24"/>
          <w:szCs w:val="24"/>
        </w:rPr>
        <w:t>LSL "Skladišno</w:t>
      </w:r>
      <w:r w:rsidR="002E5621" w:rsidRPr="00FE6CB4">
        <w:rPr>
          <w:rFonts w:asciiTheme="majorHAnsi" w:eastAsia="Times New Roman" w:hAnsiTheme="majorHAnsi" w:cs="Arial"/>
          <w:color w:val="auto"/>
          <w:sz w:val="24"/>
          <w:szCs w:val="24"/>
        </w:rPr>
        <w:t xml:space="preserve"> - poslovna zona Donji Kokoti" </w:t>
      </w:r>
      <w:r w:rsidRPr="00FE6CB4">
        <w:rPr>
          <w:rFonts w:asciiTheme="majorHAnsi" w:eastAsia="Times New Roman" w:hAnsiTheme="majorHAnsi" w:cs="Arial"/>
          <w:color w:val="auto"/>
          <w:sz w:val="24"/>
          <w:szCs w:val="24"/>
        </w:rPr>
        <w:t>i prostor u okviru GUR-a Podgorica koji se nalazi između zahvata DUP-ova “Zagorič 5”, “Zagorič 2”, ”Zlatica B”, “Murtovina” i “Prvoborac”, za koji nije predviđena izrada planova detaljne razrade.</w:t>
      </w:r>
    </w:p>
    <w:p w:rsidR="00182EB0" w:rsidRPr="00FE6CB4" w:rsidRDefault="00182EB0" w:rsidP="00FE6CB4">
      <w:pPr>
        <w:widowControl w:val="0"/>
        <w:jc w:val="both"/>
        <w:rPr>
          <w:rFonts w:asciiTheme="majorHAnsi" w:eastAsia="Times New Roman" w:hAnsiTheme="majorHAnsi" w:cs="Arial"/>
          <w:color w:val="auto"/>
          <w:sz w:val="24"/>
          <w:szCs w:val="24"/>
        </w:rPr>
      </w:pPr>
    </w:p>
    <w:p w:rsidR="00182EB0" w:rsidRPr="00FE6CB4" w:rsidRDefault="00182EB0" w:rsidP="00FE6CB4">
      <w:pPr>
        <w:widowControl w:val="0"/>
        <w:jc w:val="both"/>
        <w:rPr>
          <w:rFonts w:asciiTheme="majorHAnsi" w:eastAsia="Times New Roman" w:hAnsiTheme="majorHAnsi" w:cs="Arial"/>
          <w:b/>
          <w:color w:val="auto"/>
          <w:sz w:val="24"/>
          <w:szCs w:val="24"/>
          <w:u w:val="single"/>
        </w:rPr>
      </w:pPr>
      <w:r w:rsidRPr="00FE6CB4">
        <w:rPr>
          <w:rFonts w:asciiTheme="majorHAnsi" w:eastAsia="Times New Roman" w:hAnsiTheme="majorHAnsi" w:cs="Arial"/>
          <w:b/>
          <w:color w:val="auto"/>
          <w:sz w:val="24"/>
          <w:szCs w:val="24"/>
          <w:u w:val="single"/>
        </w:rPr>
        <w:t>PETA ZONA</w:t>
      </w:r>
      <w:r w:rsidR="00594F14" w:rsidRPr="00FE6CB4">
        <w:rPr>
          <w:rFonts w:asciiTheme="majorHAnsi" w:eastAsia="Times New Roman" w:hAnsiTheme="majorHAnsi" w:cs="Arial"/>
          <w:b/>
          <w:color w:val="auto"/>
          <w:sz w:val="24"/>
          <w:szCs w:val="24"/>
          <w:u w:val="single"/>
        </w:rPr>
        <w:t xml:space="preserve"> (V)</w:t>
      </w:r>
    </w:p>
    <w:p w:rsidR="00182EB0" w:rsidRPr="00FE6CB4" w:rsidRDefault="00182EB0" w:rsidP="00FE6CB4">
      <w:pPr>
        <w:widowControl w:val="0"/>
        <w:jc w:val="both"/>
        <w:rPr>
          <w:rFonts w:asciiTheme="majorHAnsi" w:eastAsia="Times New Roman" w:hAnsiTheme="majorHAnsi" w:cs="Arial"/>
          <w:color w:val="auto"/>
          <w:sz w:val="24"/>
          <w:szCs w:val="24"/>
        </w:rPr>
      </w:pPr>
      <w:r w:rsidRPr="00FE6CB4">
        <w:rPr>
          <w:rFonts w:asciiTheme="majorHAnsi" w:eastAsia="Times New Roman" w:hAnsiTheme="majorHAnsi" w:cs="Arial"/>
          <w:color w:val="auto"/>
          <w:sz w:val="24"/>
          <w:szCs w:val="24"/>
        </w:rPr>
        <w:t>Obuhvata prostor koji zahvata:</w:t>
      </w:r>
    </w:p>
    <w:p w:rsidR="00182EB0" w:rsidRPr="00FE6CB4" w:rsidRDefault="00182EB0" w:rsidP="00FE6CB4">
      <w:pPr>
        <w:widowControl w:val="0"/>
        <w:jc w:val="both"/>
        <w:rPr>
          <w:rFonts w:asciiTheme="majorHAnsi" w:eastAsia="Times New Roman" w:hAnsiTheme="majorHAnsi" w:cs="Arial"/>
          <w:color w:val="auto"/>
          <w:sz w:val="24"/>
          <w:szCs w:val="24"/>
        </w:rPr>
      </w:pPr>
      <w:r w:rsidRPr="00FE6CB4">
        <w:rPr>
          <w:rFonts w:asciiTheme="majorHAnsi" w:eastAsia="Times New Roman" w:hAnsiTheme="majorHAnsi" w:cs="Arial"/>
          <w:color w:val="auto"/>
          <w:sz w:val="24"/>
          <w:szCs w:val="24"/>
        </w:rPr>
        <w:t xml:space="preserve">DUP "Kakaricka gora", UP ‘’Sanitarna deponija </w:t>
      </w:r>
      <w:proofErr w:type="gramStart"/>
      <w:r w:rsidRPr="00FE6CB4">
        <w:rPr>
          <w:rFonts w:asciiTheme="majorHAnsi" w:eastAsia="Times New Roman" w:hAnsiTheme="majorHAnsi" w:cs="Arial"/>
          <w:color w:val="auto"/>
          <w:sz w:val="24"/>
          <w:szCs w:val="24"/>
        </w:rPr>
        <w:t>sa</w:t>
      </w:r>
      <w:proofErr w:type="gramEnd"/>
      <w:r w:rsidRPr="00FE6CB4">
        <w:rPr>
          <w:rFonts w:asciiTheme="majorHAnsi" w:eastAsia="Times New Roman" w:hAnsiTheme="majorHAnsi" w:cs="Arial"/>
          <w:color w:val="auto"/>
          <w:sz w:val="24"/>
          <w:szCs w:val="24"/>
        </w:rPr>
        <w:t xml:space="preserve"> reciklažnim centrom’’, UP "Skladišta i servisi Cijevna", DUP ‘’Cijevna 2’’, DUP ‘’Kuće rakića’’, LSL ‘’Rogami’’, LSL ‘’Mareza’’, LSL ‘’Doljani’’, LSL "Kat. parcela broj 8 KO Goljemadi", LSL "Veruša" i ostalo građevinsko zemljište u gran</w:t>
      </w:r>
      <w:r w:rsidR="00861B73" w:rsidRPr="00FE6CB4">
        <w:rPr>
          <w:rFonts w:asciiTheme="majorHAnsi" w:eastAsia="Times New Roman" w:hAnsiTheme="majorHAnsi" w:cs="Arial"/>
          <w:color w:val="auto"/>
          <w:sz w:val="24"/>
          <w:szCs w:val="24"/>
        </w:rPr>
        <w:t xml:space="preserve">icama obuhvata GUR-a Podgorice </w:t>
      </w:r>
      <w:r w:rsidRPr="00FE6CB4">
        <w:rPr>
          <w:rFonts w:asciiTheme="majorHAnsi" w:eastAsia="Times New Roman" w:hAnsiTheme="majorHAnsi" w:cs="Arial"/>
          <w:color w:val="auto"/>
          <w:sz w:val="24"/>
          <w:szCs w:val="24"/>
        </w:rPr>
        <w:t>(osim Planova koji su obuhvaćeni IV zonom), koridore magistralnih putnih pravaca van zahvata GUR-a Podgorica u širini od 100 m od osovine puta sa obije strane, prostore predviđene PUP-om za izradu planova detaljne razrade (DUP, LSL, UP) van granica GUR-a Podgorica.</w:t>
      </w:r>
    </w:p>
    <w:p w:rsidR="00182EB0" w:rsidRPr="00FE6CB4" w:rsidRDefault="00182EB0" w:rsidP="00FE6CB4">
      <w:pPr>
        <w:widowControl w:val="0"/>
        <w:jc w:val="both"/>
        <w:rPr>
          <w:rFonts w:asciiTheme="majorHAnsi" w:eastAsia="Times New Roman" w:hAnsiTheme="majorHAnsi" w:cs="Arial"/>
          <w:color w:val="auto"/>
          <w:sz w:val="24"/>
          <w:szCs w:val="24"/>
        </w:rPr>
      </w:pPr>
    </w:p>
    <w:p w:rsidR="00182EB0" w:rsidRPr="00FE6CB4" w:rsidRDefault="00182EB0" w:rsidP="00FE6CB4">
      <w:pPr>
        <w:widowControl w:val="0"/>
        <w:jc w:val="both"/>
        <w:rPr>
          <w:rFonts w:asciiTheme="majorHAnsi" w:eastAsia="Times New Roman" w:hAnsiTheme="majorHAnsi" w:cs="Arial"/>
          <w:b/>
          <w:color w:val="auto"/>
          <w:sz w:val="24"/>
          <w:szCs w:val="24"/>
          <w:u w:val="single"/>
        </w:rPr>
      </w:pPr>
      <w:r w:rsidRPr="00FE6CB4">
        <w:rPr>
          <w:rFonts w:asciiTheme="majorHAnsi" w:eastAsia="Times New Roman" w:hAnsiTheme="majorHAnsi" w:cs="Arial"/>
          <w:b/>
          <w:color w:val="auto"/>
          <w:sz w:val="24"/>
          <w:szCs w:val="24"/>
          <w:u w:val="single"/>
        </w:rPr>
        <w:t>ŠESTA ZONA</w:t>
      </w:r>
      <w:r w:rsidR="00594F14" w:rsidRPr="00FE6CB4">
        <w:rPr>
          <w:rFonts w:asciiTheme="majorHAnsi" w:eastAsia="Times New Roman" w:hAnsiTheme="majorHAnsi" w:cs="Arial"/>
          <w:b/>
          <w:color w:val="auto"/>
          <w:sz w:val="24"/>
          <w:szCs w:val="24"/>
          <w:u w:val="single"/>
        </w:rPr>
        <w:t xml:space="preserve"> (VI)</w:t>
      </w:r>
    </w:p>
    <w:p w:rsidR="00F5014C" w:rsidRPr="00FE6CB4" w:rsidRDefault="00182EB0" w:rsidP="00FE6CB4">
      <w:pPr>
        <w:pStyle w:val="T30X"/>
        <w:spacing w:before="0" w:after="0"/>
        <w:ind w:firstLine="0"/>
        <w:rPr>
          <w:rFonts w:asciiTheme="majorHAnsi" w:hAnsiTheme="majorHAnsi" w:cs="Tahoma"/>
          <w:sz w:val="24"/>
          <w:szCs w:val="24"/>
        </w:rPr>
      </w:pPr>
      <w:r w:rsidRPr="00FE6CB4">
        <w:rPr>
          <w:rFonts w:asciiTheme="majorHAnsi" w:eastAsia="Times New Roman" w:hAnsiTheme="majorHAnsi" w:cs="Arial"/>
          <w:color w:val="auto"/>
          <w:sz w:val="24"/>
          <w:szCs w:val="24"/>
        </w:rPr>
        <w:t xml:space="preserve">Obuhvata sva ostala seoska naselja i zemljište </w:t>
      </w:r>
      <w:proofErr w:type="gramStart"/>
      <w:r w:rsidRPr="00FE6CB4">
        <w:rPr>
          <w:rFonts w:asciiTheme="majorHAnsi" w:eastAsia="Times New Roman" w:hAnsiTheme="majorHAnsi" w:cs="Arial"/>
          <w:color w:val="auto"/>
          <w:sz w:val="24"/>
          <w:szCs w:val="24"/>
        </w:rPr>
        <w:t>na</w:t>
      </w:r>
      <w:proofErr w:type="gramEnd"/>
      <w:r w:rsidRPr="00FE6CB4">
        <w:rPr>
          <w:rFonts w:asciiTheme="majorHAnsi" w:eastAsia="Times New Roman" w:hAnsiTheme="majorHAnsi" w:cs="Arial"/>
          <w:color w:val="auto"/>
          <w:sz w:val="24"/>
          <w:szCs w:val="24"/>
        </w:rPr>
        <w:t xml:space="preserve"> području Prostorno urbanističkog plana Podgorice i ostalo poljoprivredno zemljište u gran</w:t>
      </w:r>
      <w:r w:rsidR="00861B73" w:rsidRPr="00FE6CB4">
        <w:rPr>
          <w:rFonts w:asciiTheme="majorHAnsi" w:eastAsia="Times New Roman" w:hAnsiTheme="majorHAnsi" w:cs="Arial"/>
          <w:color w:val="auto"/>
          <w:sz w:val="24"/>
          <w:szCs w:val="24"/>
        </w:rPr>
        <w:t xml:space="preserve">icama obuhvata GUR-a Podgorice </w:t>
      </w:r>
      <w:r w:rsidRPr="00FE6CB4">
        <w:rPr>
          <w:rFonts w:asciiTheme="majorHAnsi" w:eastAsia="Times New Roman" w:hAnsiTheme="majorHAnsi" w:cs="Arial"/>
          <w:color w:val="auto"/>
          <w:sz w:val="24"/>
          <w:szCs w:val="24"/>
        </w:rPr>
        <w:t>za koje nije predviđena izrada plana detaljne razrade.</w:t>
      </w:r>
    </w:p>
    <w:p w:rsidR="00046CF4" w:rsidRPr="00FE6CB4" w:rsidRDefault="00046CF4" w:rsidP="00FE6CB4">
      <w:pPr>
        <w:pStyle w:val="C30X"/>
        <w:spacing w:before="0" w:after="0"/>
        <w:jc w:val="left"/>
        <w:rPr>
          <w:rFonts w:asciiTheme="majorHAnsi" w:hAnsiTheme="majorHAnsi" w:cs="Tahoma"/>
        </w:rPr>
      </w:pPr>
    </w:p>
    <w:p w:rsidR="00FE63C0" w:rsidRPr="00FE6CB4" w:rsidRDefault="00FE63C0" w:rsidP="00FE6CB4">
      <w:pPr>
        <w:pStyle w:val="C30X"/>
        <w:spacing w:before="0" w:after="0"/>
        <w:rPr>
          <w:rFonts w:asciiTheme="majorHAnsi" w:hAnsiTheme="majorHAnsi" w:cs="Tahoma"/>
        </w:rPr>
      </w:pPr>
      <w:r w:rsidRPr="00FE6CB4">
        <w:rPr>
          <w:rFonts w:asciiTheme="majorHAnsi" w:hAnsiTheme="majorHAnsi" w:cs="Tahoma"/>
        </w:rPr>
        <w:t xml:space="preserve">Član </w:t>
      </w:r>
      <w:r w:rsidR="00FA5252" w:rsidRPr="00FE6CB4">
        <w:rPr>
          <w:rFonts w:asciiTheme="majorHAnsi" w:hAnsiTheme="majorHAnsi" w:cs="Tahoma"/>
        </w:rPr>
        <w:t>7</w:t>
      </w:r>
    </w:p>
    <w:p w:rsidR="00FA5252" w:rsidRPr="00FE6CB4" w:rsidRDefault="00FA5252" w:rsidP="00FE6CB4">
      <w:pPr>
        <w:pStyle w:val="T30X"/>
        <w:spacing w:before="0" w:after="0"/>
        <w:ind w:firstLine="720"/>
        <w:rPr>
          <w:rFonts w:asciiTheme="majorHAnsi" w:hAnsiTheme="majorHAnsi"/>
          <w:sz w:val="24"/>
          <w:szCs w:val="24"/>
        </w:rPr>
      </w:pPr>
      <w:r w:rsidRPr="00FE6CB4">
        <w:rPr>
          <w:rFonts w:asciiTheme="majorHAnsi" w:hAnsiTheme="majorHAnsi"/>
          <w:sz w:val="24"/>
          <w:szCs w:val="24"/>
        </w:rPr>
        <w:t xml:space="preserve">Stepen opremljenosti građevinskog zemljišta iskazuje se koeficijentom opremljenosti po zonama, </w:t>
      </w:r>
      <w:proofErr w:type="gramStart"/>
      <w:r w:rsidRPr="00FE6CB4">
        <w:rPr>
          <w:rFonts w:asciiTheme="majorHAnsi" w:hAnsiTheme="majorHAnsi"/>
          <w:sz w:val="24"/>
          <w:szCs w:val="24"/>
        </w:rPr>
        <w:t>na</w:t>
      </w:r>
      <w:proofErr w:type="gramEnd"/>
      <w:r w:rsidRPr="00FE6CB4">
        <w:rPr>
          <w:rFonts w:asciiTheme="majorHAnsi" w:hAnsiTheme="majorHAnsi"/>
          <w:sz w:val="24"/>
          <w:szCs w:val="24"/>
        </w:rPr>
        <w:t xml:space="preserve"> osnovu pripadajuće vrijednosti izgrađenih objekata i uređaja komunalne infrastrukture i na osnovu tržišnog kriterijuma vrijednosti lokacije, gdje je vrijednost lokacije srazmjerna njenom položaju i udaljenosti od gradskog centra, pristupačnosti, obimu i raznolikosti ponude i posebnim pogodnostima za određenu namjenu, i to:</w:t>
      </w:r>
    </w:p>
    <w:p w:rsidR="00046CF4" w:rsidRPr="00FE6CB4" w:rsidRDefault="00046CF4" w:rsidP="00FE6CB4">
      <w:pPr>
        <w:pStyle w:val="T30X"/>
        <w:numPr>
          <w:ilvl w:val="0"/>
          <w:numId w:val="5"/>
        </w:numPr>
        <w:spacing w:before="0" w:after="0"/>
        <w:rPr>
          <w:rFonts w:asciiTheme="majorHAnsi" w:hAnsiTheme="majorHAnsi"/>
          <w:sz w:val="24"/>
          <w:szCs w:val="24"/>
        </w:rPr>
      </w:pPr>
      <w:r w:rsidRPr="00FE6CB4">
        <w:rPr>
          <w:rFonts w:asciiTheme="majorHAnsi" w:hAnsiTheme="majorHAnsi"/>
          <w:sz w:val="24"/>
          <w:szCs w:val="24"/>
        </w:rPr>
        <w:t>zona Ia - 1,45</w:t>
      </w:r>
    </w:p>
    <w:p w:rsidR="00046CF4" w:rsidRPr="00FE6CB4" w:rsidRDefault="00046CF4" w:rsidP="00FE6CB4">
      <w:pPr>
        <w:pStyle w:val="T30X"/>
        <w:numPr>
          <w:ilvl w:val="0"/>
          <w:numId w:val="5"/>
        </w:numPr>
        <w:tabs>
          <w:tab w:val="left" w:pos="1080"/>
        </w:tabs>
        <w:spacing w:before="0" w:after="0"/>
        <w:rPr>
          <w:rFonts w:asciiTheme="majorHAnsi" w:hAnsiTheme="majorHAnsi"/>
          <w:sz w:val="24"/>
          <w:szCs w:val="24"/>
        </w:rPr>
      </w:pPr>
      <w:r w:rsidRPr="00FE6CB4">
        <w:rPr>
          <w:rFonts w:asciiTheme="majorHAnsi" w:hAnsiTheme="majorHAnsi"/>
          <w:sz w:val="24"/>
          <w:szCs w:val="24"/>
        </w:rPr>
        <w:t>zona I - 1,40</w:t>
      </w:r>
    </w:p>
    <w:p w:rsidR="00046CF4" w:rsidRPr="00FE6CB4" w:rsidRDefault="00046CF4" w:rsidP="00FE6CB4">
      <w:pPr>
        <w:pStyle w:val="T30X"/>
        <w:numPr>
          <w:ilvl w:val="0"/>
          <w:numId w:val="5"/>
        </w:numPr>
        <w:spacing w:before="0" w:after="0"/>
        <w:rPr>
          <w:rFonts w:asciiTheme="majorHAnsi" w:hAnsiTheme="majorHAnsi"/>
          <w:sz w:val="24"/>
          <w:szCs w:val="24"/>
        </w:rPr>
      </w:pPr>
      <w:r w:rsidRPr="00FE6CB4">
        <w:rPr>
          <w:rFonts w:asciiTheme="majorHAnsi" w:hAnsiTheme="majorHAnsi"/>
          <w:sz w:val="24"/>
          <w:szCs w:val="24"/>
        </w:rPr>
        <w:t>zona II - 1,00</w:t>
      </w:r>
    </w:p>
    <w:p w:rsidR="00046CF4" w:rsidRPr="00FE6CB4" w:rsidRDefault="00046CF4" w:rsidP="00FE6CB4">
      <w:pPr>
        <w:pStyle w:val="T30X"/>
        <w:numPr>
          <w:ilvl w:val="0"/>
          <w:numId w:val="5"/>
        </w:numPr>
        <w:spacing w:before="0" w:after="0"/>
        <w:rPr>
          <w:rFonts w:asciiTheme="majorHAnsi" w:hAnsiTheme="majorHAnsi"/>
          <w:sz w:val="24"/>
          <w:szCs w:val="24"/>
        </w:rPr>
      </w:pPr>
      <w:r w:rsidRPr="00FE6CB4">
        <w:rPr>
          <w:rFonts w:asciiTheme="majorHAnsi" w:hAnsiTheme="majorHAnsi"/>
          <w:sz w:val="24"/>
          <w:szCs w:val="24"/>
        </w:rPr>
        <w:lastRenderedPageBreak/>
        <w:t>zona III - 0,75</w:t>
      </w:r>
    </w:p>
    <w:p w:rsidR="00046CF4" w:rsidRPr="00FE6CB4" w:rsidRDefault="00046CF4" w:rsidP="00FE6CB4">
      <w:pPr>
        <w:pStyle w:val="T30X"/>
        <w:numPr>
          <w:ilvl w:val="0"/>
          <w:numId w:val="5"/>
        </w:numPr>
        <w:spacing w:before="0" w:after="0"/>
        <w:rPr>
          <w:rFonts w:asciiTheme="majorHAnsi" w:hAnsiTheme="majorHAnsi"/>
          <w:sz w:val="24"/>
          <w:szCs w:val="24"/>
        </w:rPr>
      </w:pPr>
      <w:r w:rsidRPr="00FE6CB4">
        <w:rPr>
          <w:rFonts w:asciiTheme="majorHAnsi" w:hAnsiTheme="majorHAnsi"/>
          <w:sz w:val="24"/>
          <w:szCs w:val="24"/>
        </w:rPr>
        <w:t>zona IV - 0,65</w:t>
      </w:r>
    </w:p>
    <w:p w:rsidR="00046CF4" w:rsidRPr="00FE6CB4" w:rsidRDefault="00046CF4" w:rsidP="00FE6CB4">
      <w:pPr>
        <w:pStyle w:val="T30X"/>
        <w:numPr>
          <w:ilvl w:val="0"/>
          <w:numId w:val="5"/>
        </w:numPr>
        <w:spacing w:before="0" w:after="0"/>
        <w:rPr>
          <w:rFonts w:asciiTheme="majorHAnsi" w:hAnsiTheme="majorHAnsi"/>
          <w:sz w:val="24"/>
          <w:szCs w:val="24"/>
        </w:rPr>
      </w:pPr>
      <w:r w:rsidRPr="00FE6CB4">
        <w:rPr>
          <w:rFonts w:asciiTheme="majorHAnsi" w:hAnsiTheme="majorHAnsi"/>
          <w:sz w:val="24"/>
          <w:szCs w:val="24"/>
        </w:rPr>
        <w:t>zona V - 0,50</w:t>
      </w:r>
    </w:p>
    <w:p w:rsidR="00046CF4" w:rsidRPr="00FE6CB4" w:rsidRDefault="00046CF4" w:rsidP="00FE6CB4">
      <w:pPr>
        <w:pStyle w:val="T30X"/>
        <w:numPr>
          <w:ilvl w:val="0"/>
          <w:numId w:val="5"/>
        </w:numPr>
        <w:spacing w:before="0" w:after="0"/>
        <w:rPr>
          <w:rFonts w:asciiTheme="majorHAnsi" w:hAnsiTheme="majorHAnsi"/>
          <w:sz w:val="24"/>
          <w:szCs w:val="24"/>
        </w:rPr>
      </w:pPr>
      <w:r w:rsidRPr="00FE6CB4">
        <w:rPr>
          <w:rFonts w:asciiTheme="majorHAnsi" w:hAnsiTheme="majorHAnsi"/>
          <w:sz w:val="24"/>
          <w:szCs w:val="24"/>
        </w:rPr>
        <w:t>zona VI - 0,00</w:t>
      </w:r>
    </w:p>
    <w:p w:rsidR="00046CF4" w:rsidRPr="00FE6CB4" w:rsidRDefault="00046CF4" w:rsidP="00FE6CB4">
      <w:pPr>
        <w:pStyle w:val="T30X"/>
        <w:spacing w:before="0" w:after="0"/>
        <w:ind w:left="1080" w:firstLine="0"/>
        <w:rPr>
          <w:rFonts w:asciiTheme="majorHAnsi" w:hAnsiTheme="majorHAnsi"/>
          <w:sz w:val="24"/>
          <w:szCs w:val="24"/>
        </w:rPr>
      </w:pPr>
    </w:p>
    <w:p w:rsidR="00FA5252" w:rsidRPr="00FE6CB4" w:rsidRDefault="00046CF4" w:rsidP="00FE6CB4">
      <w:pPr>
        <w:pStyle w:val="T30X"/>
        <w:spacing w:before="0" w:after="0"/>
        <w:ind w:left="1080" w:firstLine="0"/>
        <w:rPr>
          <w:rFonts w:asciiTheme="majorHAnsi" w:hAnsiTheme="majorHAnsi"/>
          <w:sz w:val="24"/>
          <w:szCs w:val="24"/>
        </w:rPr>
      </w:pPr>
      <w:r w:rsidRPr="00FE6CB4">
        <w:rPr>
          <w:rFonts w:asciiTheme="majorHAnsi" w:hAnsiTheme="majorHAnsi"/>
          <w:sz w:val="24"/>
          <w:szCs w:val="24"/>
        </w:rPr>
        <w:t xml:space="preserve">                                                          </w:t>
      </w:r>
      <w:r w:rsidR="00FA5252" w:rsidRPr="00FE6CB4">
        <w:rPr>
          <w:rFonts w:asciiTheme="majorHAnsi" w:hAnsiTheme="majorHAnsi" w:cs="Tahoma"/>
          <w:b/>
          <w:sz w:val="24"/>
          <w:szCs w:val="24"/>
        </w:rPr>
        <w:t>Član 8</w:t>
      </w:r>
    </w:p>
    <w:p w:rsidR="00FA5252" w:rsidRPr="00FE6CB4" w:rsidRDefault="00FA5252" w:rsidP="00FE6CB4">
      <w:pPr>
        <w:pStyle w:val="T30X"/>
        <w:spacing w:before="0" w:after="0"/>
        <w:ind w:firstLine="720"/>
        <w:rPr>
          <w:rFonts w:asciiTheme="majorHAnsi" w:hAnsiTheme="majorHAnsi"/>
          <w:sz w:val="24"/>
          <w:szCs w:val="24"/>
        </w:rPr>
      </w:pPr>
      <w:r w:rsidRPr="00FE6CB4">
        <w:rPr>
          <w:rFonts w:asciiTheme="majorHAnsi" w:hAnsiTheme="majorHAnsi"/>
          <w:sz w:val="24"/>
          <w:szCs w:val="24"/>
        </w:rPr>
        <w:t>Prosječni troškovi komunalnog opremanja građevinskog zemljišta na nivou svih zona iznose 11</w:t>
      </w:r>
      <w:r w:rsidR="00046CF4" w:rsidRPr="00FE6CB4">
        <w:rPr>
          <w:rFonts w:asciiTheme="majorHAnsi" w:hAnsiTheme="majorHAnsi"/>
          <w:sz w:val="24"/>
          <w:szCs w:val="24"/>
        </w:rPr>
        <w:t>7</w:t>
      </w:r>
      <w:proofErr w:type="gramStart"/>
      <w:r w:rsidRPr="00FE6CB4">
        <w:rPr>
          <w:rFonts w:asciiTheme="majorHAnsi" w:hAnsiTheme="majorHAnsi"/>
          <w:sz w:val="24"/>
          <w:szCs w:val="24"/>
        </w:rPr>
        <w:t>,</w:t>
      </w:r>
      <w:r w:rsidR="00046CF4" w:rsidRPr="00FE6CB4">
        <w:rPr>
          <w:rFonts w:asciiTheme="majorHAnsi" w:hAnsiTheme="majorHAnsi"/>
          <w:sz w:val="24"/>
          <w:szCs w:val="24"/>
        </w:rPr>
        <w:t>16</w:t>
      </w:r>
      <w:proofErr w:type="gramEnd"/>
      <w:r w:rsidRPr="00FE6CB4">
        <w:rPr>
          <w:rFonts w:asciiTheme="majorHAnsi" w:hAnsiTheme="majorHAnsi"/>
          <w:sz w:val="24"/>
          <w:szCs w:val="24"/>
        </w:rPr>
        <w:t xml:space="preserve"> € po m</w:t>
      </w:r>
      <w:r w:rsidRPr="00FE6CB4">
        <w:rPr>
          <w:rFonts w:asciiTheme="majorHAnsi" w:hAnsiTheme="majorHAnsi"/>
          <w:sz w:val="24"/>
          <w:szCs w:val="24"/>
          <w:vertAlign w:val="superscript"/>
        </w:rPr>
        <w:t>2</w:t>
      </w:r>
      <w:r w:rsidRPr="00FE6CB4">
        <w:rPr>
          <w:rFonts w:asciiTheme="majorHAnsi" w:hAnsiTheme="majorHAnsi"/>
          <w:sz w:val="24"/>
          <w:szCs w:val="24"/>
        </w:rPr>
        <w:t>.</w:t>
      </w:r>
    </w:p>
    <w:p w:rsidR="00FA5252" w:rsidRPr="00FE6CB4" w:rsidRDefault="00FA5252" w:rsidP="00FE6CB4">
      <w:pPr>
        <w:pStyle w:val="C30X"/>
        <w:spacing w:before="0" w:after="0"/>
        <w:jc w:val="left"/>
        <w:rPr>
          <w:rFonts w:asciiTheme="majorHAnsi" w:hAnsiTheme="majorHAnsi" w:cs="Tahoma"/>
        </w:rPr>
      </w:pPr>
    </w:p>
    <w:p w:rsidR="00FA5252" w:rsidRPr="00FE6CB4" w:rsidRDefault="00FA5252" w:rsidP="00FE6CB4">
      <w:pPr>
        <w:pStyle w:val="C30X"/>
        <w:spacing w:before="0" w:after="0"/>
        <w:rPr>
          <w:rFonts w:asciiTheme="majorHAnsi" w:hAnsiTheme="majorHAnsi" w:cs="Tahoma"/>
        </w:rPr>
      </w:pPr>
      <w:r w:rsidRPr="00FE6CB4">
        <w:rPr>
          <w:rFonts w:asciiTheme="majorHAnsi" w:hAnsiTheme="majorHAnsi" w:cs="Tahoma"/>
        </w:rPr>
        <w:t>Član 9</w:t>
      </w:r>
    </w:p>
    <w:p w:rsidR="00FE63C0" w:rsidRPr="00FE6CB4" w:rsidRDefault="00FE63C0" w:rsidP="00FE6CB4">
      <w:pPr>
        <w:pStyle w:val="T30X"/>
        <w:spacing w:before="0" w:after="0"/>
        <w:ind w:firstLine="720"/>
        <w:rPr>
          <w:rFonts w:asciiTheme="majorHAnsi" w:hAnsiTheme="majorHAnsi" w:cs="Tahoma"/>
          <w:sz w:val="24"/>
          <w:szCs w:val="24"/>
        </w:rPr>
      </w:pPr>
      <w:r w:rsidRPr="00FE6CB4">
        <w:rPr>
          <w:rFonts w:asciiTheme="majorHAnsi" w:hAnsiTheme="majorHAnsi" w:cs="Tahoma"/>
          <w:sz w:val="24"/>
          <w:szCs w:val="24"/>
        </w:rPr>
        <w:t>Iznos naknade po m2 neto površine bespravnog objekta</w:t>
      </w:r>
      <w:r w:rsidR="00065549" w:rsidRPr="00FE6CB4">
        <w:rPr>
          <w:rFonts w:asciiTheme="majorHAnsi" w:eastAsiaTheme="minorHAnsi" w:hAnsiTheme="majorHAnsi" w:cs="Arial"/>
          <w:color w:val="auto"/>
          <w:sz w:val="24"/>
          <w:szCs w:val="24"/>
        </w:rPr>
        <w:t xml:space="preserve"> </w:t>
      </w:r>
      <w:r w:rsidR="00884D90" w:rsidRPr="00FE6CB4">
        <w:rPr>
          <w:rFonts w:asciiTheme="majorHAnsi" w:hAnsiTheme="majorHAnsi"/>
          <w:sz w:val="24"/>
          <w:szCs w:val="24"/>
        </w:rPr>
        <w:t>obračunava se kao proizvod prosječnih troškova komunalnog opremanja građevinskog zemljišta, koefi</w:t>
      </w:r>
      <w:r w:rsidR="0001679E" w:rsidRPr="00FE6CB4">
        <w:rPr>
          <w:rFonts w:asciiTheme="majorHAnsi" w:hAnsiTheme="majorHAnsi"/>
          <w:sz w:val="24"/>
          <w:szCs w:val="24"/>
        </w:rPr>
        <w:t>cijenta opremljenosti po zonama i</w:t>
      </w:r>
      <w:r w:rsidR="00884D90" w:rsidRPr="00FE6CB4">
        <w:rPr>
          <w:rFonts w:asciiTheme="majorHAnsi" w:hAnsiTheme="majorHAnsi"/>
          <w:sz w:val="24"/>
          <w:szCs w:val="24"/>
        </w:rPr>
        <w:t xml:space="preserve"> troškovi</w:t>
      </w:r>
      <w:r w:rsidR="0001679E" w:rsidRPr="00FE6CB4">
        <w:rPr>
          <w:rFonts w:asciiTheme="majorHAnsi" w:hAnsiTheme="majorHAnsi"/>
          <w:sz w:val="24"/>
          <w:szCs w:val="24"/>
        </w:rPr>
        <w:t>ma</w:t>
      </w:r>
      <w:r w:rsidR="00884D90" w:rsidRPr="00FE6CB4">
        <w:rPr>
          <w:rFonts w:asciiTheme="majorHAnsi" w:hAnsiTheme="majorHAnsi"/>
          <w:sz w:val="24"/>
          <w:szCs w:val="24"/>
        </w:rPr>
        <w:t xml:space="preserve"> sprovođenja mjera urbane sanacije prostora devastiranih bespravnom gradnjom i iznosi po zonama</w:t>
      </w:r>
      <w:r w:rsidRPr="00FE6CB4">
        <w:rPr>
          <w:rFonts w:asciiTheme="majorHAnsi" w:hAnsiTheme="majorHAnsi" w:cs="Tahoma"/>
          <w:sz w:val="24"/>
          <w:szCs w:val="24"/>
        </w:rPr>
        <w:t>:</w:t>
      </w:r>
    </w:p>
    <w:p w:rsidR="00FE63C0" w:rsidRPr="00FE6CB4" w:rsidRDefault="00FE63C0" w:rsidP="00FE6CB4">
      <w:pPr>
        <w:pStyle w:val="TABELATE"/>
        <w:spacing w:before="0" w:after="0"/>
        <w:jc w:val="both"/>
        <w:rPr>
          <w:rFonts w:asciiTheme="majorHAnsi" w:hAnsiTheme="majorHAnsi" w:cs="Tahoma"/>
          <w:sz w:val="24"/>
          <w:szCs w:val="24"/>
        </w:rPr>
      </w:pPr>
      <w:r w:rsidRPr="00FE6CB4">
        <w:rPr>
          <w:rFonts w:asciiTheme="majorHAnsi" w:hAnsiTheme="majorHAnsi" w:cs="Tahoma"/>
          <w:sz w:val="24"/>
          <w:szCs w:val="24"/>
        </w:rPr>
        <w:t>   </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tblPr>
      <w:tblGrid>
        <w:gridCol w:w="1795"/>
        <w:gridCol w:w="1156"/>
        <w:gridCol w:w="1156"/>
        <w:gridCol w:w="1157"/>
        <w:gridCol w:w="1156"/>
        <w:gridCol w:w="1157"/>
        <w:gridCol w:w="1156"/>
        <w:gridCol w:w="1157"/>
      </w:tblGrid>
      <w:tr w:rsidR="00594F14" w:rsidRPr="00FE6CB4" w:rsidTr="00594F14">
        <w:tc>
          <w:tcPr>
            <w:tcW w:w="1795" w:type="dxa"/>
            <w:shd w:val="clear" w:color="auto" w:fill="D9D9D9"/>
          </w:tcPr>
          <w:p w:rsidR="00594F14" w:rsidRPr="00FE6CB4" w:rsidRDefault="00594F14"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Zona</w:t>
            </w:r>
          </w:p>
        </w:tc>
        <w:tc>
          <w:tcPr>
            <w:tcW w:w="1156" w:type="dxa"/>
            <w:shd w:val="clear" w:color="auto" w:fill="D9D9D9"/>
          </w:tcPr>
          <w:p w:rsidR="00594F14" w:rsidRPr="00FE6CB4" w:rsidRDefault="00594F14"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Ia</w:t>
            </w:r>
          </w:p>
        </w:tc>
        <w:tc>
          <w:tcPr>
            <w:tcW w:w="1156" w:type="dxa"/>
            <w:shd w:val="clear" w:color="auto" w:fill="D9D9D9"/>
          </w:tcPr>
          <w:p w:rsidR="00594F14" w:rsidRPr="00FE6CB4" w:rsidRDefault="00594F14"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I</w:t>
            </w:r>
          </w:p>
        </w:tc>
        <w:tc>
          <w:tcPr>
            <w:tcW w:w="1157" w:type="dxa"/>
            <w:shd w:val="clear" w:color="auto" w:fill="D9D9D9"/>
          </w:tcPr>
          <w:p w:rsidR="00594F14" w:rsidRPr="00FE6CB4" w:rsidRDefault="00594F14"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II</w:t>
            </w:r>
          </w:p>
        </w:tc>
        <w:tc>
          <w:tcPr>
            <w:tcW w:w="1156" w:type="dxa"/>
            <w:shd w:val="clear" w:color="auto" w:fill="D9D9D9"/>
          </w:tcPr>
          <w:p w:rsidR="00594F14" w:rsidRPr="00FE6CB4" w:rsidRDefault="00594F14"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III</w:t>
            </w:r>
          </w:p>
        </w:tc>
        <w:tc>
          <w:tcPr>
            <w:tcW w:w="1157" w:type="dxa"/>
            <w:shd w:val="clear" w:color="auto" w:fill="D9D9D9"/>
          </w:tcPr>
          <w:p w:rsidR="00594F14" w:rsidRPr="00FE6CB4" w:rsidRDefault="00594F14"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IV</w:t>
            </w:r>
          </w:p>
        </w:tc>
        <w:tc>
          <w:tcPr>
            <w:tcW w:w="1156" w:type="dxa"/>
            <w:shd w:val="clear" w:color="auto" w:fill="D9D9D9"/>
          </w:tcPr>
          <w:p w:rsidR="00594F14" w:rsidRPr="00FE6CB4" w:rsidRDefault="00594F14"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V</w:t>
            </w:r>
          </w:p>
        </w:tc>
        <w:tc>
          <w:tcPr>
            <w:tcW w:w="1157" w:type="dxa"/>
            <w:shd w:val="clear" w:color="auto" w:fill="D9D9D9"/>
          </w:tcPr>
          <w:p w:rsidR="00594F14" w:rsidRPr="00FE6CB4" w:rsidRDefault="00594F14"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VI</w:t>
            </w:r>
          </w:p>
        </w:tc>
      </w:tr>
      <w:tr w:rsidR="00046CF4" w:rsidRPr="00FE6CB4" w:rsidTr="00594F14">
        <w:tc>
          <w:tcPr>
            <w:tcW w:w="1795" w:type="dxa"/>
          </w:tcPr>
          <w:p w:rsidR="00046CF4" w:rsidRPr="00FE6CB4" w:rsidRDefault="00046CF4"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Iznos (€/m</w:t>
            </w:r>
            <w:r w:rsidRPr="00FE6CB4">
              <w:rPr>
                <w:rFonts w:asciiTheme="majorHAnsi" w:eastAsia="Times New Roman" w:hAnsiTheme="majorHAnsi"/>
                <w:sz w:val="24"/>
                <w:szCs w:val="24"/>
                <w:vertAlign w:val="superscript"/>
              </w:rPr>
              <w:t>2</w:t>
            </w:r>
            <w:r w:rsidRPr="00FE6CB4">
              <w:rPr>
                <w:rFonts w:asciiTheme="majorHAnsi" w:eastAsia="Times New Roman" w:hAnsiTheme="majorHAnsi"/>
                <w:sz w:val="24"/>
                <w:szCs w:val="24"/>
              </w:rPr>
              <w:t>)</w:t>
            </w:r>
          </w:p>
        </w:tc>
        <w:tc>
          <w:tcPr>
            <w:tcW w:w="1156" w:type="dxa"/>
          </w:tcPr>
          <w:p w:rsidR="00046CF4" w:rsidRPr="00FE6CB4" w:rsidRDefault="00046CF4" w:rsidP="00FE6CB4">
            <w:pPr>
              <w:pStyle w:val="T30X"/>
              <w:spacing w:before="0" w:after="0"/>
              <w:ind w:firstLine="0"/>
              <w:jc w:val="center"/>
              <w:rPr>
                <w:rFonts w:asciiTheme="majorHAnsi" w:hAnsiTheme="majorHAnsi"/>
                <w:sz w:val="24"/>
                <w:szCs w:val="24"/>
              </w:rPr>
            </w:pPr>
            <w:r w:rsidRPr="00FE6CB4">
              <w:rPr>
                <w:rFonts w:asciiTheme="majorHAnsi" w:hAnsiTheme="majorHAnsi"/>
                <w:sz w:val="24"/>
                <w:szCs w:val="24"/>
              </w:rPr>
              <w:t>169,89</w:t>
            </w:r>
          </w:p>
        </w:tc>
        <w:tc>
          <w:tcPr>
            <w:tcW w:w="1156" w:type="dxa"/>
          </w:tcPr>
          <w:p w:rsidR="00046CF4" w:rsidRPr="00FE6CB4" w:rsidRDefault="00046CF4" w:rsidP="00FE6CB4">
            <w:pPr>
              <w:pStyle w:val="T30X"/>
              <w:spacing w:before="0" w:after="0"/>
              <w:ind w:firstLine="0"/>
              <w:jc w:val="center"/>
              <w:rPr>
                <w:rFonts w:asciiTheme="majorHAnsi" w:hAnsiTheme="majorHAnsi"/>
                <w:sz w:val="24"/>
                <w:szCs w:val="24"/>
              </w:rPr>
            </w:pPr>
            <w:r w:rsidRPr="00FE6CB4">
              <w:rPr>
                <w:rFonts w:asciiTheme="majorHAnsi" w:hAnsiTheme="majorHAnsi"/>
                <w:sz w:val="24"/>
                <w:szCs w:val="24"/>
              </w:rPr>
              <w:t>164,02</w:t>
            </w:r>
          </w:p>
        </w:tc>
        <w:tc>
          <w:tcPr>
            <w:tcW w:w="1157" w:type="dxa"/>
          </w:tcPr>
          <w:p w:rsidR="00046CF4" w:rsidRPr="00FE6CB4" w:rsidRDefault="00046CF4" w:rsidP="00FE6CB4">
            <w:pPr>
              <w:pStyle w:val="T30X"/>
              <w:spacing w:before="0" w:after="0"/>
              <w:ind w:firstLine="0"/>
              <w:jc w:val="center"/>
              <w:rPr>
                <w:rFonts w:asciiTheme="majorHAnsi" w:hAnsiTheme="majorHAnsi"/>
                <w:sz w:val="24"/>
                <w:szCs w:val="24"/>
              </w:rPr>
            </w:pPr>
            <w:r w:rsidRPr="00FE6CB4">
              <w:rPr>
                <w:rFonts w:asciiTheme="majorHAnsi" w:hAnsiTheme="majorHAnsi"/>
                <w:sz w:val="24"/>
                <w:szCs w:val="24"/>
              </w:rPr>
              <w:t>117,16</w:t>
            </w:r>
          </w:p>
        </w:tc>
        <w:tc>
          <w:tcPr>
            <w:tcW w:w="1156" w:type="dxa"/>
          </w:tcPr>
          <w:p w:rsidR="00046CF4" w:rsidRPr="00FE6CB4" w:rsidRDefault="00046CF4" w:rsidP="00FE6CB4">
            <w:pPr>
              <w:pStyle w:val="T30X"/>
              <w:spacing w:before="0" w:after="0"/>
              <w:ind w:firstLine="0"/>
              <w:jc w:val="center"/>
              <w:rPr>
                <w:rFonts w:asciiTheme="majorHAnsi" w:hAnsiTheme="majorHAnsi"/>
                <w:sz w:val="24"/>
                <w:szCs w:val="24"/>
              </w:rPr>
            </w:pPr>
            <w:r w:rsidRPr="00FE6CB4">
              <w:rPr>
                <w:rFonts w:asciiTheme="majorHAnsi" w:hAnsiTheme="majorHAnsi"/>
                <w:sz w:val="24"/>
                <w:szCs w:val="24"/>
              </w:rPr>
              <w:t>87,87</w:t>
            </w:r>
          </w:p>
        </w:tc>
        <w:tc>
          <w:tcPr>
            <w:tcW w:w="1157" w:type="dxa"/>
          </w:tcPr>
          <w:p w:rsidR="00046CF4" w:rsidRPr="00FE6CB4" w:rsidRDefault="00046CF4" w:rsidP="00FE6CB4">
            <w:pPr>
              <w:pStyle w:val="T30X"/>
              <w:spacing w:before="0" w:after="0"/>
              <w:ind w:firstLine="0"/>
              <w:jc w:val="center"/>
              <w:rPr>
                <w:rFonts w:asciiTheme="majorHAnsi" w:hAnsiTheme="majorHAnsi"/>
                <w:sz w:val="24"/>
                <w:szCs w:val="24"/>
              </w:rPr>
            </w:pPr>
            <w:r w:rsidRPr="00FE6CB4">
              <w:rPr>
                <w:rFonts w:asciiTheme="majorHAnsi" w:hAnsiTheme="majorHAnsi"/>
                <w:sz w:val="24"/>
                <w:szCs w:val="24"/>
              </w:rPr>
              <w:t>76,15</w:t>
            </w:r>
          </w:p>
        </w:tc>
        <w:tc>
          <w:tcPr>
            <w:tcW w:w="1156" w:type="dxa"/>
          </w:tcPr>
          <w:p w:rsidR="00046CF4" w:rsidRPr="00FE6CB4" w:rsidRDefault="00046CF4" w:rsidP="00FE6CB4">
            <w:pPr>
              <w:pStyle w:val="T30X"/>
              <w:spacing w:before="0" w:after="0"/>
              <w:ind w:firstLine="0"/>
              <w:jc w:val="center"/>
              <w:rPr>
                <w:rFonts w:asciiTheme="majorHAnsi" w:hAnsiTheme="majorHAnsi"/>
                <w:sz w:val="24"/>
                <w:szCs w:val="24"/>
              </w:rPr>
            </w:pPr>
            <w:r w:rsidRPr="00FE6CB4">
              <w:rPr>
                <w:rFonts w:asciiTheme="majorHAnsi" w:hAnsiTheme="majorHAnsi"/>
                <w:sz w:val="24"/>
                <w:szCs w:val="24"/>
              </w:rPr>
              <w:t>58,58</w:t>
            </w:r>
          </w:p>
        </w:tc>
        <w:tc>
          <w:tcPr>
            <w:tcW w:w="1157" w:type="dxa"/>
          </w:tcPr>
          <w:p w:rsidR="00046CF4" w:rsidRPr="00FE6CB4" w:rsidRDefault="00046CF4" w:rsidP="00FE6CB4">
            <w:pPr>
              <w:pStyle w:val="T30X"/>
              <w:spacing w:before="0" w:after="0"/>
              <w:ind w:firstLine="0"/>
              <w:jc w:val="center"/>
              <w:rPr>
                <w:rFonts w:asciiTheme="majorHAnsi" w:hAnsiTheme="majorHAnsi"/>
                <w:sz w:val="24"/>
                <w:szCs w:val="24"/>
              </w:rPr>
            </w:pPr>
            <w:r w:rsidRPr="00FE6CB4">
              <w:rPr>
                <w:rFonts w:asciiTheme="majorHAnsi" w:hAnsiTheme="majorHAnsi"/>
                <w:sz w:val="24"/>
                <w:szCs w:val="24"/>
              </w:rPr>
              <w:t>0,00</w:t>
            </w:r>
          </w:p>
        </w:tc>
      </w:tr>
    </w:tbl>
    <w:p w:rsidR="00594F14" w:rsidRPr="00FE6CB4" w:rsidRDefault="00594F14" w:rsidP="00FE6CB4">
      <w:pPr>
        <w:pStyle w:val="TABELATE"/>
        <w:spacing w:before="0" w:after="0"/>
        <w:jc w:val="both"/>
        <w:rPr>
          <w:rFonts w:asciiTheme="majorHAnsi" w:hAnsiTheme="majorHAnsi" w:cs="Tahoma"/>
          <w:sz w:val="24"/>
          <w:szCs w:val="24"/>
        </w:rPr>
      </w:pPr>
    </w:p>
    <w:p w:rsidR="00D01AE9" w:rsidRPr="00FE6CB4" w:rsidRDefault="00D01AE9" w:rsidP="00FE6CB4">
      <w:pPr>
        <w:pStyle w:val="T30X"/>
        <w:spacing w:before="0" w:after="0"/>
        <w:ind w:firstLine="284"/>
        <w:rPr>
          <w:rFonts w:asciiTheme="majorHAnsi" w:hAnsiTheme="majorHAnsi" w:cs="Tahoma"/>
          <w:sz w:val="24"/>
          <w:szCs w:val="24"/>
        </w:rPr>
      </w:pPr>
      <w:r w:rsidRPr="00FE6CB4">
        <w:rPr>
          <w:rFonts w:asciiTheme="majorHAnsi" w:hAnsiTheme="majorHAnsi" w:cs="Tahoma"/>
          <w:sz w:val="24"/>
          <w:szCs w:val="24"/>
        </w:rPr>
        <w:t xml:space="preserve">Iznos naknade po m2 neto površine izgrađenog prostora za hotele, odnosno turistčko naselje </w:t>
      </w:r>
      <w:proofErr w:type="gramStart"/>
      <w:r w:rsidRPr="00FE6CB4">
        <w:rPr>
          <w:rFonts w:asciiTheme="majorHAnsi" w:hAnsiTheme="majorHAnsi" w:cs="Tahoma"/>
          <w:sz w:val="24"/>
          <w:szCs w:val="24"/>
        </w:rPr>
        <w:t>sa</w:t>
      </w:r>
      <w:proofErr w:type="gramEnd"/>
      <w:r w:rsidRPr="00FE6CB4">
        <w:rPr>
          <w:rFonts w:asciiTheme="majorHAnsi" w:hAnsiTheme="majorHAnsi" w:cs="Tahoma"/>
          <w:sz w:val="24"/>
          <w:szCs w:val="24"/>
        </w:rPr>
        <w:t xml:space="preserve"> 4 ili 5 zvjezdica i turistički rizort po zonama iznose</w:t>
      </w:r>
    </w:p>
    <w:p w:rsidR="00D01AE9" w:rsidRPr="00FE6CB4" w:rsidRDefault="00D01AE9" w:rsidP="00FE6CB4">
      <w:pPr>
        <w:pStyle w:val="TABELATE"/>
        <w:spacing w:before="0" w:after="0"/>
        <w:jc w:val="both"/>
        <w:rPr>
          <w:rFonts w:asciiTheme="majorHAnsi" w:hAnsiTheme="majorHAnsi" w:cs="Tahoma"/>
          <w:sz w:val="24"/>
          <w:szCs w:val="24"/>
        </w:rPr>
      </w:pPr>
      <w:r w:rsidRPr="00FE6CB4">
        <w:rPr>
          <w:rFonts w:asciiTheme="majorHAnsi" w:hAnsiTheme="majorHAnsi" w:cs="Tahoma"/>
          <w:sz w:val="24"/>
          <w:szCs w:val="24"/>
        </w:rPr>
        <w:t>   </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tblPr>
      <w:tblGrid>
        <w:gridCol w:w="1795"/>
        <w:gridCol w:w="1156"/>
        <w:gridCol w:w="1156"/>
        <w:gridCol w:w="1157"/>
        <w:gridCol w:w="1156"/>
        <w:gridCol w:w="1157"/>
        <w:gridCol w:w="1156"/>
        <w:gridCol w:w="1157"/>
      </w:tblGrid>
      <w:tr w:rsidR="00D01AE9" w:rsidRPr="00FE6CB4" w:rsidTr="00171947">
        <w:tc>
          <w:tcPr>
            <w:tcW w:w="1795" w:type="dxa"/>
            <w:shd w:val="clear" w:color="auto" w:fill="D9D9D9"/>
          </w:tcPr>
          <w:p w:rsidR="00D01AE9" w:rsidRPr="00FE6CB4" w:rsidRDefault="00D01AE9"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Zona</w:t>
            </w:r>
          </w:p>
        </w:tc>
        <w:tc>
          <w:tcPr>
            <w:tcW w:w="1156" w:type="dxa"/>
            <w:shd w:val="clear" w:color="auto" w:fill="D9D9D9"/>
          </w:tcPr>
          <w:p w:rsidR="00D01AE9" w:rsidRPr="00FE6CB4" w:rsidRDefault="00D01AE9"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Ia</w:t>
            </w:r>
          </w:p>
        </w:tc>
        <w:tc>
          <w:tcPr>
            <w:tcW w:w="1156" w:type="dxa"/>
            <w:shd w:val="clear" w:color="auto" w:fill="D9D9D9"/>
          </w:tcPr>
          <w:p w:rsidR="00D01AE9" w:rsidRPr="00FE6CB4" w:rsidRDefault="00D01AE9"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I</w:t>
            </w:r>
          </w:p>
        </w:tc>
        <w:tc>
          <w:tcPr>
            <w:tcW w:w="1157" w:type="dxa"/>
            <w:shd w:val="clear" w:color="auto" w:fill="D9D9D9"/>
          </w:tcPr>
          <w:p w:rsidR="00D01AE9" w:rsidRPr="00FE6CB4" w:rsidRDefault="00D01AE9"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II</w:t>
            </w:r>
          </w:p>
        </w:tc>
        <w:tc>
          <w:tcPr>
            <w:tcW w:w="1156" w:type="dxa"/>
            <w:shd w:val="clear" w:color="auto" w:fill="D9D9D9"/>
          </w:tcPr>
          <w:p w:rsidR="00D01AE9" w:rsidRPr="00FE6CB4" w:rsidRDefault="00D01AE9"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III</w:t>
            </w:r>
          </w:p>
        </w:tc>
        <w:tc>
          <w:tcPr>
            <w:tcW w:w="1157" w:type="dxa"/>
            <w:shd w:val="clear" w:color="auto" w:fill="D9D9D9"/>
          </w:tcPr>
          <w:p w:rsidR="00D01AE9" w:rsidRPr="00FE6CB4" w:rsidRDefault="00D01AE9"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IV</w:t>
            </w:r>
          </w:p>
        </w:tc>
        <w:tc>
          <w:tcPr>
            <w:tcW w:w="1156" w:type="dxa"/>
            <w:shd w:val="clear" w:color="auto" w:fill="D9D9D9"/>
          </w:tcPr>
          <w:p w:rsidR="00D01AE9" w:rsidRPr="00FE6CB4" w:rsidRDefault="00D01AE9"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V</w:t>
            </w:r>
          </w:p>
        </w:tc>
        <w:tc>
          <w:tcPr>
            <w:tcW w:w="1157" w:type="dxa"/>
            <w:shd w:val="clear" w:color="auto" w:fill="D9D9D9"/>
          </w:tcPr>
          <w:p w:rsidR="00D01AE9" w:rsidRPr="00FE6CB4" w:rsidRDefault="00D01AE9"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VI</w:t>
            </w:r>
          </w:p>
        </w:tc>
      </w:tr>
      <w:tr w:rsidR="00D01AE9" w:rsidRPr="00FE6CB4" w:rsidTr="00171947">
        <w:tc>
          <w:tcPr>
            <w:tcW w:w="1795" w:type="dxa"/>
          </w:tcPr>
          <w:p w:rsidR="00D01AE9" w:rsidRPr="00FE6CB4" w:rsidRDefault="00D01AE9"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Iznos (€/m</w:t>
            </w:r>
            <w:r w:rsidRPr="00FE6CB4">
              <w:rPr>
                <w:rFonts w:asciiTheme="majorHAnsi" w:eastAsia="Times New Roman" w:hAnsiTheme="majorHAnsi"/>
                <w:sz w:val="24"/>
                <w:szCs w:val="24"/>
                <w:vertAlign w:val="superscript"/>
              </w:rPr>
              <w:t>2</w:t>
            </w:r>
            <w:r w:rsidRPr="00FE6CB4">
              <w:rPr>
                <w:rFonts w:asciiTheme="majorHAnsi" w:eastAsia="Times New Roman" w:hAnsiTheme="majorHAnsi"/>
                <w:sz w:val="24"/>
                <w:szCs w:val="24"/>
              </w:rPr>
              <w:t>)</w:t>
            </w:r>
          </w:p>
        </w:tc>
        <w:tc>
          <w:tcPr>
            <w:tcW w:w="1156" w:type="dxa"/>
          </w:tcPr>
          <w:p w:rsidR="00D01AE9" w:rsidRPr="00FE6CB4" w:rsidRDefault="00D01AE9"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800,00</w:t>
            </w:r>
          </w:p>
        </w:tc>
        <w:tc>
          <w:tcPr>
            <w:tcW w:w="1156" w:type="dxa"/>
          </w:tcPr>
          <w:p w:rsidR="00D01AE9" w:rsidRPr="00FE6CB4" w:rsidRDefault="00D01AE9"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800,00</w:t>
            </w:r>
          </w:p>
        </w:tc>
        <w:tc>
          <w:tcPr>
            <w:tcW w:w="1157" w:type="dxa"/>
          </w:tcPr>
          <w:p w:rsidR="00D01AE9" w:rsidRPr="00FE6CB4" w:rsidRDefault="00D01AE9"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700,00</w:t>
            </w:r>
          </w:p>
        </w:tc>
        <w:tc>
          <w:tcPr>
            <w:tcW w:w="1156" w:type="dxa"/>
          </w:tcPr>
          <w:p w:rsidR="00D01AE9" w:rsidRPr="00FE6CB4" w:rsidRDefault="00D01AE9"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600,00</w:t>
            </w:r>
          </w:p>
        </w:tc>
        <w:tc>
          <w:tcPr>
            <w:tcW w:w="1157" w:type="dxa"/>
          </w:tcPr>
          <w:p w:rsidR="00D01AE9" w:rsidRPr="00FE6CB4" w:rsidRDefault="00D01AE9"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500,00</w:t>
            </w:r>
          </w:p>
        </w:tc>
        <w:tc>
          <w:tcPr>
            <w:tcW w:w="1156" w:type="dxa"/>
          </w:tcPr>
          <w:p w:rsidR="00D01AE9" w:rsidRPr="00FE6CB4" w:rsidRDefault="00D01AE9"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400,00</w:t>
            </w:r>
          </w:p>
        </w:tc>
        <w:tc>
          <w:tcPr>
            <w:tcW w:w="1157" w:type="dxa"/>
          </w:tcPr>
          <w:p w:rsidR="00D01AE9" w:rsidRPr="00FE6CB4" w:rsidRDefault="00D01AE9" w:rsidP="00FE6CB4">
            <w:pPr>
              <w:jc w:val="center"/>
              <w:rPr>
                <w:rFonts w:asciiTheme="majorHAnsi" w:eastAsia="Times New Roman" w:hAnsiTheme="majorHAnsi"/>
                <w:sz w:val="24"/>
                <w:szCs w:val="24"/>
              </w:rPr>
            </w:pPr>
            <w:r w:rsidRPr="00FE6CB4">
              <w:rPr>
                <w:rFonts w:asciiTheme="majorHAnsi" w:eastAsia="Times New Roman" w:hAnsiTheme="majorHAnsi"/>
                <w:sz w:val="24"/>
                <w:szCs w:val="24"/>
              </w:rPr>
              <w:t>400,00</w:t>
            </w:r>
          </w:p>
        </w:tc>
      </w:tr>
    </w:tbl>
    <w:p w:rsidR="00D01AE9" w:rsidRPr="00FE6CB4" w:rsidRDefault="00D01AE9" w:rsidP="00FE6CB4">
      <w:pPr>
        <w:pStyle w:val="T30X"/>
        <w:spacing w:before="0" w:after="0"/>
        <w:ind w:firstLine="0"/>
        <w:rPr>
          <w:rFonts w:asciiTheme="majorHAnsi" w:hAnsiTheme="majorHAnsi" w:cs="Tahoma"/>
          <w:b/>
          <w:sz w:val="24"/>
          <w:szCs w:val="24"/>
        </w:rPr>
      </w:pPr>
    </w:p>
    <w:p w:rsidR="00182EB0" w:rsidRPr="00FE6CB4" w:rsidRDefault="00182EB0" w:rsidP="00FE6CB4">
      <w:pPr>
        <w:pStyle w:val="T30X"/>
        <w:spacing w:before="0" w:after="0"/>
        <w:ind w:firstLine="284"/>
        <w:jc w:val="center"/>
        <w:rPr>
          <w:rFonts w:asciiTheme="majorHAnsi" w:hAnsiTheme="majorHAnsi" w:cs="Tahoma"/>
          <w:b/>
          <w:sz w:val="24"/>
          <w:szCs w:val="24"/>
        </w:rPr>
      </w:pPr>
      <w:r w:rsidRPr="00FE6CB4">
        <w:rPr>
          <w:rFonts w:asciiTheme="majorHAnsi" w:hAnsiTheme="majorHAnsi" w:cs="Tahoma"/>
          <w:b/>
          <w:sz w:val="24"/>
          <w:szCs w:val="24"/>
        </w:rPr>
        <w:t xml:space="preserve">Član </w:t>
      </w:r>
      <w:r w:rsidR="00884D90" w:rsidRPr="00FE6CB4">
        <w:rPr>
          <w:rFonts w:asciiTheme="majorHAnsi" w:hAnsiTheme="majorHAnsi" w:cs="Tahoma"/>
          <w:b/>
          <w:sz w:val="24"/>
          <w:szCs w:val="24"/>
        </w:rPr>
        <w:t>1</w:t>
      </w:r>
      <w:r w:rsidR="0001679E" w:rsidRPr="00FE6CB4">
        <w:rPr>
          <w:rFonts w:asciiTheme="majorHAnsi" w:hAnsiTheme="majorHAnsi" w:cs="Tahoma"/>
          <w:b/>
          <w:sz w:val="24"/>
          <w:szCs w:val="24"/>
        </w:rPr>
        <w:t>0</w:t>
      </w:r>
    </w:p>
    <w:p w:rsidR="00884D90" w:rsidRPr="00FE6CB4" w:rsidRDefault="00884D90" w:rsidP="00FE6CB4">
      <w:pPr>
        <w:pStyle w:val="T30X"/>
        <w:spacing w:before="0" w:after="0"/>
        <w:ind w:firstLine="720"/>
        <w:rPr>
          <w:rFonts w:asciiTheme="majorHAnsi" w:hAnsiTheme="majorHAnsi"/>
          <w:sz w:val="24"/>
          <w:szCs w:val="24"/>
        </w:rPr>
      </w:pPr>
      <w:r w:rsidRPr="00FE6CB4">
        <w:rPr>
          <w:rFonts w:asciiTheme="majorHAnsi" w:hAnsiTheme="majorHAnsi"/>
          <w:sz w:val="24"/>
          <w:szCs w:val="24"/>
        </w:rPr>
        <w:t>Iznos naknade za urbanu sanaciju umanjuje se:</w:t>
      </w:r>
    </w:p>
    <w:p w:rsidR="00884D90" w:rsidRPr="00FE6CB4" w:rsidRDefault="00884D90" w:rsidP="00FE6CB4">
      <w:pPr>
        <w:pStyle w:val="T30X"/>
        <w:numPr>
          <w:ilvl w:val="0"/>
          <w:numId w:val="4"/>
        </w:numPr>
        <w:spacing w:before="0" w:after="0"/>
        <w:rPr>
          <w:rFonts w:asciiTheme="majorHAnsi" w:hAnsiTheme="majorHAnsi"/>
          <w:sz w:val="24"/>
          <w:szCs w:val="24"/>
        </w:rPr>
      </w:pPr>
      <w:r w:rsidRPr="00FE6CB4">
        <w:rPr>
          <w:rFonts w:asciiTheme="majorHAnsi" w:hAnsiTheme="majorHAnsi"/>
          <w:sz w:val="24"/>
          <w:szCs w:val="24"/>
        </w:rPr>
        <w:t>50% za objekte osnovnog stanovanja;</w:t>
      </w:r>
    </w:p>
    <w:p w:rsidR="00884D90" w:rsidRPr="00FE6CB4" w:rsidRDefault="00884D90" w:rsidP="00FE6CB4">
      <w:pPr>
        <w:pStyle w:val="T30X"/>
        <w:numPr>
          <w:ilvl w:val="0"/>
          <w:numId w:val="4"/>
        </w:numPr>
        <w:spacing w:before="0" w:after="0"/>
        <w:rPr>
          <w:rFonts w:asciiTheme="majorHAnsi" w:hAnsiTheme="majorHAnsi"/>
          <w:sz w:val="24"/>
          <w:szCs w:val="24"/>
        </w:rPr>
      </w:pPr>
      <w:r w:rsidRPr="00FE6CB4">
        <w:rPr>
          <w:rFonts w:asciiTheme="majorHAnsi" w:hAnsiTheme="majorHAnsi"/>
          <w:sz w:val="24"/>
          <w:szCs w:val="24"/>
        </w:rPr>
        <w:t>90% za objekte čiji su vlasnici ili članovi porodičnog domaćinstva samohrani roditelji, odnosno staratelji, lica sa invaliditetom, mladi koji su bili djeca bez roditeljskog staranja, porodice sa djecom sa smetnjama u razvoju, pripadnici Romske i Egipćanske populacije;</w:t>
      </w:r>
    </w:p>
    <w:p w:rsidR="00884D90" w:rsidRPr="00FE6CB4" w:rsidRDefault="008D1984" w:rsidP="00FE6CB4">
      <w:pPr>
        <w:pStyle w:val="T30X"/>
        <w:numPr>
          <w:ilvl w:val="0"/>
          <w:numId w:val="4"/>
        </w:numPr>
        <w:spacing w:before="0" w:after="0"/>
        <w:rPr>
          <w:rFonts w:asciiTheme="majorHAnsi" w:hAnsiTheme="majorHAnsi"/>
          <w:sz w:val="24"/>
          <w:szCs w:val="24"/>
        </w:rPr>
      </w:pPr>
      <w:r w:rsidRPr="00FE6CB4">
        <w:rPr>
          <w:rFonts w:asciiTheme="majorHAnsi" w:hAnsiTheme="majorHAnsi"/>
          <w:sz w:val="24"/>
          <w:szCs w:val="24"/>
        </w:rPr>
        <w:t>20</w:t>
      </w:r>
      <w:r w:rsidR="00046CF4" w:rsidRPr="00FE6CB4">
        <w:rPr>
          <w:rFonts w:asciiTheme="majorHAnsi" w:hAnsiTheme="majorHAnsi"/>
          <w:sz w:val="24"/>
          <w:szCs w:val="24"/>
        </w:rPr>
        <w:t>% za jednokratno plaćanje;</w:t>
      </w:r>
    </w:p>
    <w:p w:rsidR="00046CF4" w:rsidRPr="00FE6CB4" w:rsidRDefault="00046CF4" w:rsidP="00FE6CB4">
      <w:pPr>
        <w:pStyle w:val="T30X"/>
        <w:numPr>
          <w:ilvl w:val="0"/>
          <w:numId w:val="4"/>
        </w:numPr>
        <w:spacing w:before="0" w:after="0"/>
        <w:rPr>
          <w:rFonts w:asciiTheme="majorHAnsi" w:hAnsiTheme="majorHAnsi"/>
          <w:sz w:val="24"/>
          <w:szCs w:val="24"/>
        </w:rPr>
      </w:pPr>
      <w:r w:rsidRPr="00FE6CB4">
        <w:rPr>
          <w:rFonts w:asciiTheme="majorHAnsi" w:hAnsiTheme="majorHAnsi"/>
          <w:sz w:val="24"/>
          <w:szCs w:val="24"/>
        </w:rPr>
        <w:t>50% za objekt</w:t>
      </w:r>
      <w:r w:rsidR="00FE5EA3" w:rsidRPr="00FE6CB4">
        <w:rPr>
          <w:rFonts w:asciiTheme="majorHAnsi" w:hAnsiTheme="majorHAnsi"/>
          <w:sz w:val="24"/>
          <w:szCs w:val="24"/>
        </w:rPr>
        <w:t>e</w:t>
      </w:r>
      <w:r w:rsidRPr="00FE6CB4">
        <w:rPr>
          <w:rFonts w:asciiTheme="majorHAnsi" w:hAnsiTheme="majorHAnsi"/>
          <w:sz w:val="24"/>
          <w:szCs w:val="24"/>
        </w:rPr>
        <w:t xml:space="preserve"> u vlasništvu vjerskih zajednica, koji se koriste za bogoslužbene i druge vje</w:t>
      </w:r>
      <w:r w:rsidR="00FE5EA3" w:rsidRPr="00FE6CB4">
        <w:rPr>
          <w:rFonts w:asciiTheme="majorHAnsi" w:hAnsiTheme="majorHAnsi"/>
          <w:sz w:val="24"/>
          <w:szCs w:val="24"/>
        </w:rPr>
        <w:t>rske potrebe vjerskih zajednica</w:t>
      </w:r>
      <w:r w:rsidRPr="00FE6CB4">
        <w:rPr>
          <w:rFonts w:asciiTheme="majorHAnsi" w:hAnsiTheme="majorHAnsi"/>
          <w:sz w:val="24"/>
          <w:szCs w:val="24"/>
        </w:rPr>
        <w:t>.</w:t>
      </w:r>
    </w:p>
    <w:p w:rsidR="00D01AE9" w:rsidRPr="00FE6CB4" w:rsidRDefault="00D01AE9" w:rsidP="00FE6CB4">
      <w:pPr>
        <w:pStyle w:val="T30X"/>
        <w:spacing w:before="0" w:after="0"/>
        <w:ind w:firstLine="720"/>
        <w:rPr>
          <w:rFonts w:asciiTheme="majorHAnsi" w:hAnsiTheme="majorHAnsi"/>
          <w:sz w:val="24"/>
          <w:szCs w:val="24"/>
        </w:rPr>
      </w:pPr>
      <w:proofErr w:type="gramStart"/>
      <w:r w:rsidRPr="00FE6CB4">
        <w:rPr>
          <w:rFonts w:asciiTheme="majorHAnsi" w:hAnsiTheme="majorHAnsi"/>
          <w:sz w:val="24"/>
          <w:szCs w:val="24"/>
        </w:rPr>
        <w:t xml:space="preserve">Umanjeni iznos naknade iz stava </w:t>
      </w:r>
      <w:r w:rsidR="00460931" w:rsidRPr="00FE6CB4">
        <w:rPr>
          <w:rFonts w:asciiTheme="majorHAnsi" w:hAnsiTheme="majorHAnsi"/>
          <w:sz w:val="24"/>
          <w:szCs w:val="24"/>
        </w:rPr>
        <w:t>1</w:t>
      </w:r>
      <w:r w:rsidRPr="00FE6CB4">
        <w:rPr>
          <w:rFonts w:asciiTheme="majorHAnsi" w:hAnsiTheme="majorHAnsi"/>
          <w:sz w:val="24"/>
          <w:szCs w:val="24"/>
        </w:rPr>
        <w:t xml:space="preserve"> al</w:t>
      </w:r>
      <w:r w:rsidR="00460931" w:rsidRPr="00FE6CB4">
        <w:rPr>
          <w:rFonts w:asciiTheme="majorHAnsi" w:hAnsiTheme="majorHAnsi"/>
          <w:sz w:val="24"/>
          <w:szCs w:val="24"/>
        </w:rPr>
        <w:t>ineja</w:t>
      </w:r>
      <w:r w:rsidRPr="00FE6CB4">
        <w:rPr>
          <w:rFonts w:asciiTheme="majorHAnsi" w:hAnsiTheme="majorHAnsi"/>
          <w:sz w:val="24"/>
          <w:szCs w:val="24"/>
        </w:rPr>
        <w:t xml:space="preserve"> </w:t>
      </w:r>
      <w:r w:rsidR="00460931" w:rsidRPr="00FE6CB4">
        <w:rPr>
          <w:rFonts w:asciiTheme="majorHAnsi" w:hAnsiTheme="majorHAnsi"/>
          <w:sz w:val="24"/>
          <w:szCs w:val="24"/>
        </w:rPr>
        <w:t xml:space="preserve">1 </w:t>
      </w:r>
      <w:r w:rsidRPr="00FE6CB4">
        <w:rPr>
          <w:rFonts w:asciiTheme="majorHAnsi" w:hAnsiTheme="majorHAnsi"/>
          <w:sz w:val="24"/>
          <w:szCs w:val="24"/>
        </w:rPr>
        <w:t>ovog člana može ostvariti i vlasnik objekta osnovnog stanovanja, kao posebnog dijela kolektivnog objekta, ako ispunjava uslove za legalizaciju.</w:t>
      </w:r>
      <w:proofErr w:type="gramEnd"/>
    </w:p>
    <w:p w:rsidR="009F2685" w:rsidRPr="00FE6CB4" w:rsidRDefault="009F2685" w:rsidP="00FE6CB4">
      <w:pPr>
        <w:pStyle w:val="T30X"/>
        <w:spacing w:before="0" w:after="0"/>
        <w:ind w:firstLine="720"/>
        <w:rPr>
          <w:rFonts w:asciiTheme="majorHAnsi" w:hAnsiTheme="majorHAnsi"/>
          <w:sz w:val="24"/>
          <w:szCs w:val="24"/>
        </w:rPr>
      </w:pPr>
      <w:r w:rsidRPr="00FE6CB4">
        <w:rPr>
          <w:rFonts w:asciiTheme="majorHAnsi" w:hAnsiTheme="majorHAnsi"/>
          <w:sz w:val="24"/>
          <w:szCs w:val="24"/>
        </w:rPr>
        <w:t xml:space="preserve">Umanjeni iznos naknade iz stava 1 alineja 1 ovog člana može ostvariti i vlasnik bespravnog objekta površine do 500m2 za površinu do 200 m2 ako ispunjava </w:t>
      </w:r>
      <w:r w:rsidRPr="00FE6CB4">
        <w:rPr>
          <w:rFonts w:asciiTheme="majorHAnsi" w:hAnsiTheme="majorHAnsi"/>
          <w:color w:val="auto"/>
          <w:sz w:val="24"/>
          <w:szCs w:val="24"/>
        </w:rPr>
        <w:t>ostale uslove za bespravni objekat osnovnog stanovanja u skladu sa Zakonom o legalizaciji.</w:t>
      </w:r>
      <w:r w:rsidRPr="00FE6CB4">
        <w:rPr>
          <w:rFonts w:asciiTheme="majorHAnsi" w:hAnsiTheme="majorHAnsi"/>
          <w:sz w:val="24"/>
          <w:szCs w:val="24"/>
        </w:rPr>
        <w:t xml:space="preserve"> Za preostalu površinu veću </w:t>
      </w:r>
      <w:proofErr w:type="gramStart"/>
      <w:r w:rsidRPr="00FE6CB4">
        <w:rPr>
          <w:rFonts w:asciiTheme="majorHAnsi" w:hAnsiTheme="majorHAnsi"/>
          <w:sz w:val="24"/>
          <w:szCs w:val="24"/>
        </w:rPr>
        <w:t>od</w:t>
      </w:r>
      <w:proofErr w:type="gramEnd"/>
      <w:r w:rsidRPr="00FE6CB4">
        <w:rPr>
          <w:rFonts w:asciiTheme="majorHAnsi" w:hAnsiTheme="majorHAnsi"/>
          <w:sz w:val="24"/>
          <w:szCs w:val="24"/>
        </w:rPr>
        <w:t xml:space="preserve"> 200m2 vlasnik bespravnog objekta ima pravo na umanjenje iz stava 1 alineja 3 ovog člana.</w:t>
      </w:r>
    </w:p>
    <w:p w:rsidR="00884D90" w:rsidRPr="00FE6CB4" w:rsidRDefault="00884D90" w:rsidP="00FE6CB4">
      <w:pPr>
        <w:pStyle w:val="T30X"/>
        <w:spacing w:before="0" w:after="0"/>
        <w:ind w:firstLine="720"/>
        <w:rPr>
          <w:rFonts w:asciiTheme="majorHAnsi" w:hAnsiTheme="majorHAnsi"/>
          <w:sz w:val="24"/>
          <w:szCs w:val="24"/>
        </w:rPr>
      </w:pPr>
      <w:r w:rsidRPr="00FE6CB4">
        <w:rPr>
          <w:rFonts w:asciiTheme="majorHAnsi" w:hAnsiTheme="majorHAnsi"/>
          <w:sz w:val="24"/>
          <w:szCs w:val="24"/>
        </w:rPr>
        <w:t xml:space="preserve">Umanjenja iz </w:t>
      </w:r>
      <w:r w:rsidR="00FE5EA3" w:rsidRPr="00FE6CB4">
        <w:rPr>
          <w:rFonts w:asciiTheme="majorHAnsi" w:hAnsiTheme="majorHAnsi"/>
          <w:sz w:val="24"/>
          <w:szCs w:val="24"/>
        </w:rPr>
        <w:t>stave 1 ovog člana</w:t>
      </w:r>
      <w:r w:rsidRPr="00FE6CB4">
        <w:rPr>
          <w:rFonts w:asciiTheme="majorHAnsi" w:hAnsiTheme="majorHAnsi"/>
          <w:sz w:val="24"/>
          <w:szCs w:val="24"/>
        </w:rPr>
        <w:t xml:space="preserve"> ne mogu se sabirati odnosno kumulirati.</w:t>
      </w:r>
    </w:p>
    <w:p w:rsidR="009F2685" w:rsidRPr="00FE6CB4" w:rsidRDefault="009F2685" w:rsidP="00FE6CB4">
      <w:pPr>
        <w:pStyle w:val="T30X"/>
        <w:spacing w:before="0" w:after="0"/>
        <w:ind w:firstLine="720"/>
        <w:rPr>
          <w:rFonts w:asciiTheme="majorHAnsi" w:hAnsiTheme="majorHAnsi"/>
          <w:color w:val="auto"/>
          <w:sz w:val="24"/>
          <w:szCs w:val="24"/>
        </w:rPr>
      </w:pPr>
      <w:proofErr w:type="gramStart"/>
      <w:r w:rsidRPr="00FE6CB4">
        <w:rPr>
          <w:rFonts w:asciiTheme="majorHAnsi" w:hAnsiTheme="majorHAnsi"/>
          <w:color w:val="auto"/>
          <w:sz w:val="24"/>
          <w:szCs w:val="24"/>
        </w:rPr>
        <w:t xml:space="preserve">Ispunjenost uslova za umanjenje naknade iz </w:t>
      </w:r>
      <w:r w:rsidR="003C33B7" w:rsidRPr="00FE6CB4">
        <w:rPr>
          <w:rFonts w:asciiTheme="majorHAnsi" w:hAnsiTheme="majorHAnsi"/>
          <w:color w:val="auto"/>
          <w:sz w:val="24"/>
          <w:szCs w:val="24"/>
        </w:rPr>
        <w:t>stav</w:t>
      </w:r>
      <w:r w:rsidR="00FE6CB4" w:rsidRPr="00FE6CB4">
        <w:rPr>
          <w:rFonts w:asciiTheme="majorHAnsi" w:hAnsiTheme="majorHAnsi"/>
          <w:color w:val="auto"/>
          <w:sz w:val="24"/>
          <w:szCs w:val="24"/>
        </w:rPr>
        <w:t>a</w:t>
      </w:r>
      <w:r w:rsidR="003C33B7" w:rsidRPr="00FE6CB4">
        <w:rPr>
          <w:rFonts w:asciiTheme="majorHAnsi" w:hAnsiTheme="majorHAnsi"/>
          <w:color w:val="auto"/>
          <w:sz w:val="24"/>
          <w:szCs w:val="24"/>
        </w:rPr>
        <w:t xml:space="preserve"> 1 </w:t>
      </w:r>
      <w:r w:rsidRPr="00FE6CB4">
        <w:rPr>
          <w:rFonts w:asciiTheme="majorHAnsi" w:hAnsiTheme="majorHAnsi"/>
          <w:color w:val="auto"/>
          <w:sz w:val="24"/>
          <w:szCs w:val="24"/>
        </w:rPr>
        <w:t xml:space="preserve">alineje 1 i 2 </w:t>
      </w:r>
      <w:r w:rsidR="003C33B7" w:rsidRPr="00FE6CB4">
        <w:rPr>
          <w:rFonts w:asciiTheme="majorHAnsi" w:hAnsiTheme="majorHAnsi"/>
          <w:color w:val="auto"/>
          <w:sz w:val="24"/>
          <w:szCs w:val="24"/>
        </w:rPr>
        <w:t>i</w:t>
      </w:r>
      <w:r w:rsidRPr="00FE6CB4">
        <w:rPr>
          <w:rFonts w:asciiTheme="majorHAnsi" w:hAnsiTheme="majorHAnsi"/>
          <w:color w:val="auto"/>
          <w:sz w:val="24"/>
          <w:szCs w:val="24"/>
        </w:rPr>
        <w:t xml:space="preserve"> iz stava 3</w:t>
      </w:r>
      <w:r w:rsidR="003C33B7" w:rsidRPr="00FE6CB4">
        <w:rPr>
          <w:rFonts w:asciiTheme="majorHAnsi" w:hAnsiTheme="majorHAnsi"/>
          <w:color w:val="auto"/>
          <w:sz w:val="24"/>
          <w:szCs w:val="24"/>
        </w:rPr>
        <w:t xml:space="preserve"> ovog člana</w:t>
      </w:r>
      <w:r w:rsidRPr="00FE6CB4">
        <w:rPr>
          <w:rFonts w:asciiTheme="majorHAnsi" w:hAnsiTheme="majorHAnsi"/>
          <w:color w:val="auto"/>
          <w:sz w:val="24"/>
          <w:szCs w:val="24"/>
        </w:rPr>
        <w:t>, utvrđuje organ nadležan za donošenje rešenja o legalizaciji.</w:t>
      </w:r>
      <w:proofErr w:type="gramEnd"/>
    </w:p>
    <w:p w:rsidR="00A14F25" w:rsidRDefault="00A14F25" w:rsidP="00FE6CB4">
      <w:pPr>
        <w:pStyle w:val="T30X"/>
        <w:spacing w:before="0" w:after="0"/>
        <w:ind w:firstLine="0"/>
        <w:rPr>
          <w:rFonts w:asciiTheme="majorHAnsi" w:hAnsiTheme="majorHAnsi" w:cs="Tahoma"/>
          <w:sz w:val="24"/>
          <w:szCs w:val="24"/>
        </w:rPr>
      </w:pPr>
    </w:p>
    <w:p w:rsidR="00FE6CB4" w:rsidRDefault="00FE6CB4" w:rsidP="00FE6CB4">
      <w:pPr>
        <w:pStyle w:val="T30X"/>
        <w:spacing w:before="0" w:after="0"/>
        <w:ind w:firstLine="0"/>
        <w:rPr>
          <w:rFonts w:asciiTheme="majorHAnsi" w:hAnsiTheme="majorHAnsi" w:cs="Tahoma"/>
          <w:sz w:val="24"/>
          <w:szCs w:val="24"/>
        </w:rPr>
      </w:pPr>
    </w:p>
    <w:p w:rsidR="00FE6CB4" w:rsidRDefault="00FE6CB4" w:rsidP="00FE6CB4">
      <w:pPr>
        <w:pStyle w:val="T30X"/>
        <w:spacing w:before="0" w:after="0"/>
        <w:ind w:firstLine="0"/>
        <w:rPr>
          <w:rFonts w:asciiTheme="majorHAnsi" w:hAnsiTheme="majorHAnsi" w:cs="Tahoma"/>
          <w:sz w:val="24"/>
          <w:szCs w:val="24"/>
        </w:rPr>
      </w:pPr>
    </w:p>
    <w:p w:rsidR="00FE6CB4" w:rsidRPr="00FE6CB4" w:rsidRDefault="00FE6CB4" w:rsidP="00FE6CB4">
      <w:pPr>
        <w:pStyle w:val="T30X"/>
        <w:spacing w:before="0" w:after="0"/>
        <w:ind w:firstLine="0"/>
        <w:rPr>
          <w:rFonts w:asciiTheme="majorHAnsi" w:hAnsiTheme="majorHAnsi" w:cs="Tahoma"/>
          <w:sz w:val="24"/>
          <w:szCs w:val="24"/>
        </w:rPr>
      </w:pPr>
    </w:p>
    <w:p w:rsidR="00A14F25" w:rsidRPr="00FE6CB4" w:rsidRDefault="00A14F25" w:rsidP="00FE6CB4">
      <w:pPr>
        <w:pStyle w:val="N01X"/>
        <w:spacing w:before="0" w:after="0"/>
        <w:rPr>
          <w:rFonts w:asciiTheme="majorHAnsi" w:hAnsiTheme="majorHAnsi" w:cs="Tahoma"/>
        </w:rPr>
      </w:pPr>
      <w:r w:rsidRPr="00FE6CB4">
        <w:rPr>
          <w:rFonts w:asciiTheme="majorHAnsi" w:hAnsiTheme="majorHAnsi" w:cs="Tahoma"/>
        </w:rPr>
        <w:lastRenderedPageBreak/>
        <w:t>III NAČIN, ROKOVI I POSTUPAK PLAĆANJA NAKNADE</w:t>
      </w:r>
    </w:p>
    <w:p w:rsidR="00A14F25" w:rsidRPr="00FE6CB4" w:rsidRDefault="00A14F25" w:rsidP="00FE6CB4">
      <w:pPr>
        <w:pStyle w:val="C30X"/>
        <w:spacing w:before="0" w:after="0"/>
        <w:jc w:val="both"/>
        <w:rPr>
          <w:rFonts w:asciiTheme="majorHAnsi" w:hAnsiTheme="majorHAnsi" w:cs="Tahoma"/>
        </w:rPr>
      </w:pPr>
    </w:p>
    <w:p w:rsidR="00C70B36" w:rsidRPr="00FE6CB4" w:rsidRDefault="00A14F25" w:rsidP="00FE6CB4">
      <w:pPr>
        <w:pStyle w:val="C30X"/>
        <w:spacing w:before="0" w:after="0"/>
        <w:rPr>
          <w:rFonts w:asciiTheme="majorHAnsi" w:hAnsiTheme="majorHAnsi" w:cs="Tahoma"/>
        </w:rPr>
      </w:pPr>
      <w:r w:rsidRPr="00FE6CB4">
        <w:rPr>
          <w:rFonts w:asciiTheme="majorHAnsi" w:hAnsiTheme="majorHAnsi" w:cs="Tahoma"/>
        </w:rPr>
        <w:t xml:space="preserve">Član </w:t>
      </w:r>
      <w:r w:rsidR="007D6C38" w:rsidRPr="00FE6CB4">
        <w:rPr>
          <w:rFonts w:asciiTheme="majorHAnsi" w:hAnsiTheme="majorHAnsi" w:cs="Tahoma"/>
        </w:rPr>
        <w:t>1</w:t>
      </w:r>
      <w:r w:rsidR="0001679E" w:rsidRPr="00FE6CB4">
        <w:rPr>
          <w:rFonts w:asciiTheme="majorHAnsi" w:hAnsiTheme="majorHAnsi" w:cs="Tahoma"/>
        </w:rPr>
        <w:t>1</w:t>
      </w:r>
    </w:p>
    <w:p w:rsidR="00C70B36" w:rsidRPr="00FE6CB4" w:rsidRDefault="00C70B36" w:rsidP="00FE6CB4">
      <w:pPr>
        <w:ind w:firstLine="720"/>
        <w:jc w:val="both"/>
        <w:rPr>
          <w:rFonts w:asciiTheme="majorHAnsi" w:eastAsia="Times New Roman" w:hAnsiTheme="majorHAnsi"/>
          <w:sz w:val="24"/>
          <w:szCs w:val="24"/>
        </w:rPr>
      </w:pPr>
      <w:r w:rsidRPr="00FE6CB4">
        <w:rPr>
          <w:rFonts w:asciiTheme="majorHAnsi" w:eastAsia="Times New Roman" w:hAnsiTheme="majorHAnsi"/>
          <w:sz w:val="24"/>
          <w:szCs w:val="24"/>
        </w:rPr>
        <w:t xml:space="preserve">Naknadu utvrđuje rješenjem nadležni organ lokalne uprave, </w:t>
      </w:r>
      <w:proofErr w:type="gramStart"/>
      <w:r w:rsidRPr="00FE6CB4">
        <w:rPr>
          <w:rFonts w:asciiTheme="majorHAnsi" w:eastAsia="Times New Roman" w:hAnsiTheme="majorHAnsi"/>
          <w:sz w:val="24"/>
          <w:szCs w:val="24"/>
        </w:rPr>
        <w:t>na</w:t>
      </w:r>
      <w:proofErr w:type="gramEnd"/>
      <w:r w:rsidRPr="00FE6CB4">
        <w:rPr>
          <w:rFonts w:asciiTheme="majorHAnsi" w:eastAsia="Times New Roman" w:hAnsiTheme="majorHAnsi"/>
          <w:sz w:val="24"/>
          <w:szCs w:val="24"/>
        </w:rPr>
        <w:t xml:space="preserve"> osnovu obračuna naknade dostavljenog od strane Agencije.</w:t>
      </w:r>
    </w:p>
    <w:p w:rsidR="00185A6E" w:rsidRPr="00FE6CB4" w:rsidRDefault="00185A6E" w:rsidP="00FE6CB4">
      <w:pPr>
        <w:pStyle w:val="T30X"/>
        <w:spacing w:before="0" w:after="0"/>
        <w:ind w:firstLine="720"/>
        <w:rPr>
          <w:rFonts w:asciiTheme="majorHAnsi" w:eastAsia="Times New Roman" w:hAnsiTheme="majorHAnsi"/>
          <w:color w:val="auto"/>
          <w:sz w:val="24"/>
          <w:szCs w:val="24"/>
        </w:rPr>
      </w:pPr>
      <w:r w:rsidRPr="00FE6CB4">
        <w:rPr>
          <w:rFonts w:asciiTheme="majorHAnsi" w:hAnsiTheme="majorHAnsi" w:cs="Tahoma"/>
          <w:color w:val="auto"/>
          <w:sz w:val="24"/>
          <w:szCs w:val="24"/>
        </w:rPr>
        <w:t xml:space="preserve">Nadležni organ za izdavanje rješenja o legalizaciji bespravnog objekta dostavlja Agenciji Elaborat premjera izvedenog stanja izgrađenog objekta </w:t>
      </w:r>
      <w:proofErr w:type="gramStart"/>
      <w:r w:rsidRPr="00FE6CB4">
        <w:rPr>
          <w:rFonts w:asciiTheme="majorHAnsi" w:hAnsiTheme="majorHAnsi" w:cs="Tahoma"/>
          <w:color w:val="auto"/>
          <w:sz w:val="24"/>
          <w:szCs w:val="24"/>
        </w:rPr>
        <w:t>ili</w:t>
      </w:r>
      <w:proofErr w:type="gramEnd"/>
      <w:r w:rsidRPr="00FE6CB4">
        <w:rPr>
          <w:rFonts w:asciiTheme="majorHAnsi" w:hAnsiTheme="majorHAnsi" w:cs="Tahoma"/>
          <w:color w:val="auto"/>
          <w:sz w:val="24"/>
          <w:szCs w:val="24"/>
        </w:rPr>
        <w:t xml:space="preserve"> dijela objekta ovjeren od strane </w:t>
      </w:r>
      <w:r w:rsidR="003C33B7" w:rsidRPr="00FE6CB4">
        <w:rPr>
          <w:rFonts w:asciiTheme="majorHAnsi" w:hAnsiTheme="majorHAnsi" w:cs="Tahoma"/>
          <w:color w:val="auto"/>
          <w:sz w:val="24"/>
          <w:szCs w:val="24"/>
        </w:rPr>
        <w:t>Uprave za nekretnine</w:t>
      </w:r>
      <w:r w:rsidRPr="00FE6CB4">
        <w:rPr>
          <w:rFonts w:asciiTheme="majorHAnsi" w:hAnsiTheme="majorHAnsi" w:cs="Tahoma"/>
          <w:color w:val="auto"/>
          <w:sz w:val="24"/>
          <w:szCs w:val="24"/>
        </w:rPr>
        <w:t xml:space="preserve">, na obračun naknade. </w:t>
      </w:r>
    </w:p>
    <w:p w:rsidR="00185A6E" w:rsidRPr="00FE6CB4" w:rsidRDefault="00185A6E" w:rsidP="00FE6CB4">
      <w:pPr>
        <w:ind w:firstLine="720"/>
        <w:jc w:val="both"/>
        <w:rPr>
          <w:rFonts w:asciiTheme="majorHAnsi" w:eastAsia="Times New Roman" w:hAnsiTheme="majorHAnsi"/>
          <w:color w:val="auto"/>
          <w:sz w:val="24"/>
          <w:szCs w:val="24"/>
        </w:rPr>
      </w:pPr>
      <w:r w:rsidRPr="00FE6CB4">
        <w:rPr>
          <w:rFonts w:asciiTheme="majorHAnsi" w:eastAsia="Times New Roman" w:hAnsiTheme="majorHAnsi"/>
          <w:color w:val="auto"/>
          <w:sz w:val="24"/>
          <w:szCs w:val="24"/>
        </w:rPr>
        <w:t xml:space="preserve">Agencija je dužna da u roku </w:t>
      </w:r>
      <w:proofErr w:type="gramStart"/>
      <w:r w:rsidRPr="00FE6CB4">
        <w:rPr>
          <w:rFonts w:asciiTheme="majorHAnsi" w:eastAsia="Times New Roman" w:hAnsiTheme="majorHAnsi"/>
          <w:color w:val="auto"/>
          <w:sz w:val="24"/>
          <w:szCs w:val="24"/>
        </w:rPr>
        <w:t>od</w:t>
      </w:r>
      <w:proofErr w:type="gramEnd"/>
      <w:r w:rsidRPr="00FE6CB4">
        <w:rPr>
          <w:rFonts w:asciiTheme="majorHAnsi" w:eastAsia="Times New Roman" w:hAnsiTheme="majorHAnsi"/>
          <w:color w:val="auto"/>
          <w:sz w:val="24"/>
          <w:szCs w:val="24"/>
        </w:rPr>
        <w:t xml:space="preserve"> deset (10) dana od dana dostavljanja </w:t>
      </w:r>
      <w:r w:rsidRPr="00FE6CB4">
        <w:rPr>
          <w:rFonts w:asciiTheme="majorHAnsi" w:hAnsiTheme="majorHAnsi" w:cs="Tahoma"/>
          <w:color w:val="auto"/>
          <w:sz w:val="24"/>
          <w:szCs w:val="24"/>
        </w:rPr>
        <w:t xml:space="preserve">Elaborata premjera izvedenog stanja, nadležnom organu </w:t>
      </w:r>
      <w:r w:rsidRPr="00FE6CB4">
        <w:rPr>
          <w:rFonts w:asciiTheme="majorHAnsi" w:eastAsia="Times New Roman" w:hAnsiTheme="majorHAnsi"/>
          <w:color w:val="auto"/>
          <w:sz w:val="24"/>
          <w:szCs w:val="24"/>
        </w:rPr>
        <w:t>dostavi obračun naknade neophodan za donošenje rješenja o naknadi.</w:t>
      </w:r>
    </w:p>
    <w:p w:rsidR="00185A6E" w:rsidRPr="00FE6CB4" w:rsidRDefault="00185A6E" w:rsidP="00FE6CB4">
      <w:pPr>
        <w:ind w:firstLine="720"/>
        <w:jc w:val="both"/>
        <w:rPr>
          <w:rFonts w:asciiTheme="majorHAnsi" w:eastAsia="Times New Roman" w:hAnsiTheme="majorHAnsi"/>
          <w:sz w:val="24"/>
          <w:szCs w:val="24"/>
        </w:rPr>
      </w:pPr>
    </w:p>
    <w:p w:rsidR="00185A6E" w:rsidRPr="00FE6CB4" w:rsidRDefault="00185A6E" w:rsidP="00FE6CB4">
      <w:pPr>
        <w:ind w:left="3600" w:firstLine="720"/>
        <w:rPr>
          <w:rFonts w:asciiTheme="majorHAnsi" w:eastAsia="Times New Roman" w:hAnsiTheme="majorHAnsi"/>
          <w:b/>
          <w:sz w:val="24"/>
          <w:szCs w:val="24"/>
        </w:rPr>
      </w:pPr>
      <w:r w:rsidRPr="00FE6CB4">
        <w:rPr>
          <w:rFonts w:asciiTheme="majorHAnsi" w:eastAsia="Times New Roman" w:hAnsiTheme="majorHAnsi"/>
          <w:b/>
          <w:sz w:val="24"/>
          <w:szCs w:val="24"/>
        </w:rPr>
        <w:t xml:space="preserve">    Član 1</w:t>
      </w:r>
      <w:r w:rsidR="0001679E" w:rsidRPr="00FE6CB4">
        <w:rPr>
          <w:rFonts w:asciiTheme="majorHAnsi" w:eastAsia="Times New Roman" w:hAnsiTheme="majorHAnsi"/>
          <w:b/>
          <w:sz w:val="24"/>
          <w:szCs w:val="24"/>
        </w:rPr>
        <w:t>2</w:t>
      </w:r>
    </w:p>
    <w:p w:rsidR="00185A6E" w:rsidRPr="00FE6CB4" w:rsidRDefault="00185A6E" w:rsidP="00FE6CB4">
      <w:pPr>
        <w:ind w:firstLine="720"/>
        <w:jc w:val="both"/>
        <w:rPr>
          <w:rFonts w:asciiTheme="majorHAnsi" w:eastAsia="Times New Roman" w:hAnsiTheme="majorHAnsi"/>
          <w:color w:val="auto"/>
          <w:sz w:val="24"/>
          <w:szCs w:val="24"/>
        </w:rPr>
      </w:pPr>
      <w:proofErr w:type="gramStart"/>
      <w:r w:rsidRPr="00FE6CB4">
        <w:rPr>
          <w:rFonts w:asciiTheme="majorHAnsi" w:eastAsia="Times New Roman" w:hAnsiTheme="majorHAnsi"/>
          <w:color w:val="auto"/>
          <w:sz w:val="24"/>
          <w:szCs w:val="24"/>
        </w:rPr>
        <w:t>Odnosi u pogledu plaćanja naknade, kao i prava i obaveze između vlasnika bespravnog objekta i Glavnog grada, uređuju se ugovorom.</w:t>
      </w:r>
      <w:proofErr w:type="gramEnd"/>
    </w:p>
    <w:p w:rsidR="00185A6E" w:rsidRPr="00FE6CB4" w:rsidRDefault="00185A6E" w:rsidP="00FE6CB4">
      <w:pPr>
        <w:ind w:firstLine="720"/>
        <w:jc w:val="both"/>
        <w:rPr>
          <w:rFonts w:asciiTheme="majorHAnsi" w:eastAsia="Times New Roman" w:hAnsiTheme="majorHAnsi"/>
          <w:color w:val="auto"/>
          <w:sz w:val="24"/>
          <w:szCs w:val="24"/>
        </w:rPr>
      </w:pPr>
      <w:proofErr w:type="gramStart"/>
      <w:r w:rsidRPr="00FE6CB4">
        <w:rPr>
          <w:rFonts w:asciiTheme="majorHAnsi" w:eastAsia="Times New Roman" w:hAnsiTheme="majorHAnsi"/>
          <w:color w:val="auto"/>
          <w:sz w:val="24"/>
          <w:szCs w:val="24"/>
        </w:rPr>
        <w:t>Ugovor iz stava 1 ovog člana zaključuju vlasnik bespravnog objekta i Agencija u ime Glavnog grada Podgorice.</w:t>
      </w:r>
      <w:proofErr w:type="gramEnd"/>
    </w:p>
    <w:p w:rsidR="00185A6E" w:rsidRPr="00FE6CB4" w:rsidRDefault="00185A6E" w:rsidP="00FE6CB4">
      <w:pPr>
        <w:pStyle w:val="T30X"/>
        <w:spacing w:before="0" w:after="0"/>
        <w:ind w:firstLine="720"/>
        <w:rPr>
          <w:rFonts w:asciiTheme="majorHAnsi" w:eastAsia="Times New Roman" w:hAnsiTheme="majorHAnsi"/>
          <w:color w:val="auto"/>
          <w:sz w:val="24"/>
          <w:szCs w:val="24"/>
        </w:rPr>
      </w:pPr>
      <w:proofErr w:type="gramStart"/>
      <w:r w:rsidRPr="00FE6CB4">
        <w:rPr>
          <w:rFonts w:asciiTheme="majorHAnsi" w:eastAsia="Times New Roman" w:hAnsiTheme="majorHAnsi"/>
          <w:color w:val="auto"/>
          <w:sz w:val="24"/>
          <w:szCs w:val="24"/>
        </w:rPr>
        <w:t>Agencija se stara o izvršenju rješenja iz člana 1</w:t>
      </w:r>
      <w:r w:rsidR="004557DC" w:rsidRPr="00FE6CB4">
        <w:rPr>
          <w:rFonts w:asciiTheme="majorHAnsi" w:eastAsia="Times New Roman" w:hAnsiTheme="majorHAnsi"/>
          <w:color w:val="auto"/>
          <w:sz w:val="24"/>
          <w:szCs w:val="24"/>
        </w:rPr>
        <w:t>2</w:t>
      </w:r>
      <w:r w:rsidRPr="00FE6CB4">
        <w:rPr>
          <w:rFonts w:asciiTheme="majorHAnsi" w:eastAsia="Times New Roman" w:hAnsiTheme="majorHAnsi"/>
          <w:color w:val="auto"/>
          <w:sz w:val="24"/>
          <w:szCs w:val="24"/>
        </w:rPr>
        <w:t xml:space="preserve"> stav 1 ove odluke.</w:t>
      </w:r>
      <w:proofErr w:type="gramEnd"/>
    </w:p>
    <w:p w:rsidR="00185A6E" w:rsidRPr="00FE6CB4" w:rsidRDefault="00185A6E" w:rsidP="00FE6CB4">
      <w:pPr>
        <w:pStyle w:val="T30X"/>
        <w:spacing w:before="0" w:after="0"/>
        <w:ind w:firstLine="720"/>
        <w:rPr>
          <w:rFonts w:asciiTheme="majorHAnsi" w:hAnsiTheme="majorHAnsi" w:cs="Tahoma"/>
          <w:color w:val="auto"/>
          <w:sz w:val="24"/>
          <w:szCs w:val="24"/>
        </w:rPr>
      </w:pPr>
      <w:r w:rsidRPr="00FE6CB4">
        <w:rPr>
          <w:rFonts w:asciiTheme="majorHAnsi" w:eastAsia="Times New Roman" w:hAnsiTheme="majorHAnsi"/>
          <w:color w:val="auto"/>
          <w:sz w:val="24"/>
          <w:szCs w:val="24"/>
        </w:rPr>
        <w:t xml:space="preserve">Agencija je dužna da u roku </w:t>
      </w:r>
      <w:proofErr w:type="gramStart"/>
      <w:r w:rsidRPr="00FE6CB4">
        <w:rPr>
          <w:rFonts w:asciiTheme="majorHAnsi" w:eastAsia="Times New Roman" w:hAnsiTheme="majorHAnsi"/>
          <w:color w:val="auto"/>
          <w:sz w:val="24"/>
          <w:szCs w:val="24"/>
        </w:rPr>
        <w:t>od</w:t>
      </w:r>
      <w:proofErr w:type="gramEnd"/>
      <w:r w:rsidRPr="00FE6CB4">
        <w:rPr>
          <w:rFonts w:asciiTheme="majorHAnsi" w:eastAsia="Times New Roman" w:hAnsiTheme="majorHAnsi"/>
          <w:color w:val="auto"/>
          <w:sz w:val="24"/>
          <w:szCs w:val="24"/>
        </w:rPr>
        <w:t xml:space="preserve"> 10 dana od dana zaključivanja ugovora </w:t>
      </w:r>
      <w:r w:rsidRPr="00FE6CB4">
        <w:rPr>
          <w:rFonts w:asciiTheme="majorHAnsi" w:hAnsiTheme="majorHAnsi" w:cs="Tahoma"/>
          <w:color w:val="auto"/>
          <w:sz w:val="24"/>
          <w:szCs w:val="24"/>
        </w:rPr>
        <w:t>dostavi nadležnom organu za izdavanje rješenja o legalizaciji, dokaz o uređivanju odnosa u pogledu plaćanja naknade, odnosno obavještenje da se nisu stekli uslovi za izdavanje potvrde.</w:t>
      </w:r>
    </w:p>
    <w:p w:rsidR="00185A6E" w:rsidRPr="00FE6CB4" w:rsidRDefault="00185A6E" w:rsidP="00FE6CB4">
      <w:pPr>
        <w:ind w:firstLine="720"/>
        <w:jc w:val="both"/>
        <w:rPr>
          <w:rFonts w:asciiTheme="majorHAnsi" w:eastAsia="Times New Roman" w:hAnsiTheme="majorHAnsi"/>
          <w:sz w:val="24"/>
          <w:szCs w:val="24"/>
        </w:rPr>
      </w:pPr>
    </w:p>
    <w:p w:rsidR="00A14F25" w:rsidRPr="00FE6CB4" w:rsidRDefault="00185A6E" w:rsidP="00FE6CB4">
      <w:pPr>
        <w:ind w:left="3600" w:firstLine="720"/>
        <w:jc w:val="both"/>
        <w:rPr>
          <w:rFonts w:asciiTheme="majorHAnsi" w:hAnsiTheme="majorHAnsi" w:cs="Tahoma"/>
          <w:b/>
          <w:sz w:val="24"/>
          <w:szCs w:val="24"/>
        </w:rPr>
      </w:pPr>
      <w:r w:rsidRPr="00FE6CB4">
        <w:rPr>
          <w:rFonts w:asciiTheme="majorHAnsi" w:eastAsia="Times New Roman" w:hAnsiTheme="majorHAnsi"/>
          <w:b/>
          <w:sz w:val="24"/>
          <w:szCs w:val="24"/>
        </w:rPr>
        <w:t xml:space="preserve">  </w:t>
      </w:r>
      <w:r w:rsidR="00A14F25" w:rsidRPr="00FE6CB4">
        <w:rPr>
          <w:rFonts w:asciiTheme="majorHAnsi" w:hAnsiTheme="majorHAnsi" w:cs="Tahoma"/>
          <w:b/>
          <w:sz w:val="24"/>
          <w:szCs w:val="24"/>
        </w:rPr>
        <w:t xml:space="preserve">Član </w:t>
      </w:r>
      <w:r w:rsidR="007D6C38" w:rsidRPr="00FE6CB4">
        <w:rPr>
          <w:rFonts w:asciiTheme="majorHAnsi" w:hAnsiTheme="majorHAnsi" w:cs="Tahoma"/>
          <w:b/>
          <w:sz w:val="24"/>
          <w:szCs w:val="24"/>
        </w:rPr>
        <w:t>1</w:t>
      </w:r>
      <w:r w:rsidR="0001679E" w:rsidRPr="00FE6CB4">
        <w:rPr>
          <w:rFonts w:asciiTheme="majorHAnsi" w:hAnsiTheme="majorHAnsi" w:cs="Tahoma"/>
          <w:b/>
          <w:sz w:val="24"/>
          <w:szCs w:val="24"/>
        </w:rPr>
        <w:t>3</w:t>
      </w:r>
    </w:p>
    <w:p w:rsidR="00B05634" w:rsidRPr="00FE6CB4" w:rsidRDefault="00281DCB" w:rsidP="00FE6CB4">
      <w:pPr>
        <w:pStyle w:val="T30X"/>
        <w:spacing w:before="0" w:after="0"/>
        <w:ind w:firstLine="720"/>
        <w:rPr>
          <w:rFonts w:asciiTheme="majorHAnsi" w:hAnsiTheme="majorHAnsi" w:cs="Tahoma"/>
          <w:sz w:val="24"/>
          <w:szCs w:val="24"/>
        </w:rPr>
      </w:pPr>
      <w:r w:rsidRPr="00FE6CB4">
        <w:rPr>
          <w:rFonts w:asciiTheme="majorHAnsi" w:hAnsiTheme="majorHAnsi" w:cs="Tahoma"/>
          <w:sz w:val="24"/>
          <w:szCs w:val="24"/>
        </w:rPr>
        <w:t xml:space="preserve">Vlasnik bespravnog objekta </w:t>
      </w:r>
      <w:r w:rsidR="00A14F25" w:rsidRPr="00FE6CB4">
        <w:rPr>
          <w:rFonts w:asciiTheme="majorHAnsi" w:hAnsiTheme="majorHAnsi" w:cs="Tahoma"/>
          <w:sz w:val="24"/>
          <w:szCs w:val="24"/>
        </w:rPr>
        <w:t xml:space="preserve">uplaćuje </w:t>
      </w:r>
      <w:r w:rsidR="006F1419" w:rsidRPr="00FE6CB4">
        <w:rPr>
          <w:rFonts w:asciiTheme="majorHAnsi" w:hAnsiTheme="majorHAnsi" w:cs="Tahoma"/>
          <w:sz w:val="24"/>
          <w:szCs w:val="24"/>
        </w:rPr>
        <w:t xml:space="preserve">naknadu </w:t>
      </w:r>
      <w:proofErr w:type="gramStart"/>
      <w:r w:rsidR="00A14F25" w:rsidRPr="00FE6CB4">
        <w:rPr>
          <w:rFonts w:asciiTheme="majorHAnsi" w:hAnsiTheme="majorHAnsi" w:cs="Tahoma"/>
          <w:sz w:val="24"/>
          <w:szCs w:val="24"/>
        </w:rPr>
        <w:t>na</w:t>
      </w:r>
      <w:proofErr w:type="gramEnd"/>
      <w:r w:rsidR="00A14F25" w:rsidRPr="00FE6CB4">
        <w:rPr>
          <w:rFonts w:asciiTheme="majorHAnsi" w:hAnsiTheme="majorHAnsi" w:cs="Tahoma"/>
          <w:sz w:val="24"/>
          <w:szCs w:val="24"/>
        </w:rPr>
        <w:t xml:space="preserve"> uplatni račun budžeta Glavnog grada</w:t>
      </w:r>
      <w:r w:rsidRPr="00FE6CB4">
        <w:rPr>
          <w:rFonts w:asciiTheme="majorHAnsi" w:hAnsiTheme="majorHAnsi" w:cs="Tahoma"/>
          <w:sz w:val="24"/>
          <w:szCs w:val="24"/>
        </w:rPr>
        <w:t>.</w:t>
      </w:r>
    </w:p>
    <w:p w:rsidR="003C33B7" w:rsidRPr="00FE6CB4" w:rsidRDefault="003C33B7" w:rsidP="00FE6CB4">
      <w:pPr>
        <w:pStyle w:val="T30X"/>
        <w:spacing w:before="0" w:after="0"/>
        <w:ind w:firstLine="720"/>
        <w:rPr>
          <w:rFonts w:asciiTheme="majorHAnsi" w:hAnsiTheme="majorHAnsi" w:cs="Tahoma"/>
          <w:sz w:val="24"/>
          <w:szCs w:val="24"/>
        </w:rPr>
      </w:pPr>
      <w:r w:rsidRPr="00FE6CB4">
        <w:rPr>
          <w:rFonts w:asciiTheme="majorHAnsi" w:hAnsiTheme="majorHAnsi" w:cs="Tahoma"/>
          <w:sz w:val="24"/>
          <w:szCs w:val="24"/>
        </w:rPr>
        <w:t xml:space="preserve">Prihodi </w:t>
      </w:r>
      <w:proofErr w:type="gramStart"/>
      <w:r w:rsidRPr="00FE6CB4">
        <w:rPr>
          <w:rFonts w:asciiTheme="majorHAnsi" w:hAnsiTheme="majorHAnsi" w:cs="Tahoma"/>
          <w:sz w:val="24"/>
          <w:szCs w:val="24"/>
        </w:rPr>
        <w:t>od</w:t>
      </w:r>
      <w:proofErr w:type="gramEnd"/>
      <w:r w:rsidRPr="00FE6CB4">
        <w:rPr>
          <w:rFonts w:asciiTheme="majorHAnsi" w:hAnsiTheme="majorHAnsi" w:cs="Tahoma"/>
          <w:sz w:val="24"/>
          <w:szCs w:val="24"/>
        </w:rPr>
        <w:t xml:space="preserve"> naknade pripadaju budžetu Glavnog grada i budžetu Crne Gore u srazmjeri 80% prema 20%.</w:t>
      </w:r>
    </w:p>
    <w:p w:rsidR="007D6C38" w:rsidRPr="00FE6CB4" w:rsidRDefault="007D6C38" w:rsidP="00FE6CB4">
      <w:pPr>
        <w:pStyle w:val="T30X"/>
        <w:spacing w:before="0" w:after="0"/>
        <w:ind w:firstLine="720"/>
        <w:rPr>
          <w:rFonts w:asciiTheme="majorHAnsi" w:hAnsiTheme="majorHAnsi"/>
          <w:sz w:val="24"/>
          <w:szCs w:val="24"/>
        </w:rPr>
      </w:pPr>
      <w:r w:rsidRPr="00FE6CB4">
        <w:rPr>
          <w:rFonts w:asciiTheme="majorHAnsi" w:hAnsiTheme="majorHAnsi"/>
          <w:sz w:val="24"/>
          <w:szCs w:val="24"/>
        </w:rPr>
        <w:t xml:space="preserve">Naknada za bespravne objekte osnovnog stanovanja plaća se jednokratno </w:t>
      </w:r>
      <w:proofErr w:type="gramStart"/>
      <w:r w:rsidRPr="00FE6CB4">
        <w:rPr>
          <w:rFonts w:asciiTheme="majorHAnsi" w:hAnsiTheme="majorHAnsi"/>
          <w:sz w:val="24"/>
          <w:szCs w:val="24"/>
        </w:rPr>
        <w:t>ili</w:t>
      </w:r>
      <w:proofErr w:type="gramEnd"/>
      <w:r w:rsidRPr="00FE6CB4">
        <w:rPr>
          <w:rFonts w:asciiTheme="majorHAnsi" w:hAnsiTheme="majorHAnsi"/>
          <w:sz w:val="24"/>
          <w:szCs w:val="24"/>
        </w:rPr>
        <w:t xml:space="preserve"> u jednakim mjesečnim ratama navedenim u zahtjevu vlasnika bespravnog objekta, a najviše u 360 mjesečnih rata.</w:t>
      </w:r>
    </w:p>
    <w:p w:rsidR="007D6C38" w:rsidRPr="00FE6CB4" w:rsidRDefault="007D6C38" w:rsidP="00FE6CB4">
      <w:pPr>
        <w:pStyle w:val="T30X"/>
        <w:spacing w:before="0" w:after="0"/>
        <w:ind w:firstLine="720"/>
        <w:rPr>
          <w:rFonts w:asciiTheme="majorHAnsi" w:hAnsiTheme="majorHAnsi"/>
          <w:sz w:val="24"/>
          <w:szCs w:val="24"/>
        </w:rPr>
      </w:pPr>
      <w:r w:rsidRPr="00FE6CB4">
        <w:rPr>
          <w:rFonts w:asciiTheme="majorHAnsi" w:hAnsiTheme="majorHAnsi"/>
          <w:sz w:val="24"/>
          <w:szCs w:val="24"/>
        </w:rPr>
        <w:t xml:space="preserve">Za ostale bespravne objekte, naknada se plaća jednokratno </w:t>
      </w:r>
      <w:proofErr w:type="gramStart"/>
      <w:r w:rsidRPr="00FE6CB4">
        <w:rPr>
          <w:rFonts w:asciiTheme="majorHAnsi" w:hAnsiTheme="majorHAnsi"/>
          <w:sz w:val="24"/>
          <w:szCs w:val="24"/>
        </w:rPr>
        <w:t>ili</w:t>
      </w:r>
      <w:proofErr w:type="gramEnd"/>
      <w:r w:rsidRPr="00FE6CB4">
        <w:rPr>
          <w:rFonts w:asciiTheme="majorHAnsi" w:hAnsiTheme="majorHAnsi"/>
          <w:sz w:val="24"/>
          <w:szCs w:val="24"/>
        </w:rPr>
        <w:t xml:space="preserve"> u jednakim mjesečnim ratama navedenim u zahtjevu vlasnika bespravnog objekta, a najviše u 120 mjesečnih rata.</w:t>
      </w:r>
    </w:p>
    <w:p w:rsidR="00E032E0" w:rsidRPr="00FE6CB4" w:rsidRDefault="00E032E0" w:rsidP="00FE6CB4">
      <w:pPr>
        <w:pStyle w:val="T30X"/>
        <w:spacing w:before="0" w:after="0"/>
        <w:ind w:firstLine="720"/>
        <w:rPr>
          <w:rFonts w:asciiTheme="majorHAnsi" w:hAnsiTheme="majorHAnsi" w:cs="Tahoma"/>
          <w:color w:val="auto"/>
          <w:sz w:val="24"/>
          <w:szCs w:val="24"/>
        </w:rPr>
      </w:pPr>
      <w:r w:rsidRPr="00FE6CB4">
        <w:rPr>
          <w:rFonts w:asciiTheme="majorHAnsi" w:hAnsiTheme="majorHAnsi" w:cs="Tahoma"/>
          <w:sz w:val="24"/>
          <w:szCs w:val="24"/>
        </w:rPr>
        <w:t>Jednokratno plaćanje podrazumijeva plaćanje naknade u cjelokupnom iznosu u roku od</w:t>
      </w:r>
      <w:r w:rsidR="00603B5A" w:rsidRPr="00FE6CB4">
        <w:rPr>
          <w:rFonts w:asciiTheme="majorHAnsi" w:hAnsiTheme="majorHAnsi" w:cs="Tahoma"/>
          <w:sz w:val="24"/>
          <w:szCs w:val="24"/>
        </w:rPr>
        <w:t xml:space="preserve"> </w:t>
      </w:r>
      <w:r w:rsidR="007E6573" w:rsidRPr="00FE6CB4">
        <w:rPr>
          <w:rFonts w:asciiTheme="majorHAnsi" w:hAnsiTheme="majorHAnsi" w:cs="Tahoma"/>
          <w:sz w:val="24"/>
          <w:szCs w:val="24"/>
        </w:rPr>
        <w:t>1</w:t>
      </w:r>
      <w:r w:rsidR="00185A6E" w:rsidRPr="00FE6CB4">
        <w:rPr>
          <w:rFonts w:asciiTheme="majorHAnsi" w:hAnsiTheme="majorHAnsi" w:cs="Tahoma"/>
          <w:sz w:val="24"/>
          <w:szCs w:val="24"/>
        </w:rPr>
        <w:t>0</w:t>
      </w:r>
      <w:r w:rsidRPr="00FE6CB4">
        <w:rPr>
          <w:rFonts w:asciiTheme="majorHAnsi" w:hAnsiTheme="majorHAnsi" w:cs="Tahoma"/>
          <w:sz w:val="24"/>
          <w:szCs w:val="24"/>
        </w:rPr>
        <w:t xml:space="preserve"> dana od dana zaključivanja ugovora o naknadi u kom slučaju vlasnik bespravnog objekta ima pravo na umanjenje </w:t>
      </w:r>
      <w:r w:rsidR="007D6C38" w:rsidRPr="00FE6CB4">
        <w:rPr>
          <w:rFonts w:asciiTheme="majorHAnsi" w:hAnsiTheme="majorHAnsi" w:cs="Tahoma"/>
          <w:sz w:val="24"/>
          <w:szCs w:val="24"/>
        </w:rPr>
        <w:t>iz člana 11 stav 1 alineja 3 ove Odluke</w:t>
      </w:r>
      <w:r w:rsidR="00281DCB" w:rsidRPr="00FE6CB4">
        <w:rPr>
          <w:rFonts w:asciiTheme="majorHAnsi" w:hAnsiTheme="majorHAnsi" w:cs="Tahoma"/>
          <w:sz w:val="24"/>
          <w:szCs w:val="24"/>
        </w:rPr>
        <w:t>,</w:t>
      </w:r>
      <w:r w:rsidRPr="00FE6CB4">
        <w:rPr>
          <w:rFonts w:asciiTheme="majorHAnsi" w:hAnsiTheme="majorHAnsi" w:cs="Tahoma"/>
          <w:sz w:val="24"/>
          <w:szCs w:val="24"/>
        </w:rPr>
        <w:t xml:space="preserve"> </w:t>
      </w:r>
      <w:r w:rsidR="00281DCB" w:rsidRPr="00FE6CB4">
        <w:rPr>
          <w:rFonts w:asciiTheme="majorHAnsi" w:hAnsiTheme="majorHAnsi" w:cs="Tahoma"/>
          <w:color w:val="auto"/>
          <w:sz w:val="24"/>
          <w:szCs w:val="24"/>
        </w:rPr>
        <w:t>pod uslovom da nije ostvario umanjenje naknade po drugom osnovu.</w:t>
      </w:r>
    </w:p>
    <w:p w:rsidR="00A14F25" w:rsidRPr="00FE6CB4" w:rsidRDefault="00A14F25" w:rsidP="00FE6CB4">
      <w:pPr>
        <w:pStyle w:val="C30X"/>
        <w:spacing w:before="0" w:after="0"/>
        <w:jc w:val="both"/>
        <w:rPr>
          <w:rFonts w:asciiTheme="majorHAnsi" w:hAnsiTheme="majorHAnsi" w:cs="Tahoma"/>
        </w:rPr>
      </w:pPr>
    </w:p>
    <w:p w:rsidR="00A14F25" w:rsidRPr="00FE6CB4" w:rsidRDefault="00A14F25" w:rsidP="00FE6CB4">
      <w:pPr>
        <w:pStyle w:val="C30X"/>
        <w:spacing w:before="0" w:after="0"/>
        <w:rPr>
          <w:rFonts w:asciiTheme="majorHAnsi" w:hAnsiTheme="majorHAnsi" w:cs="Tahoma"/>
        </w:rPr>
      </w:pPr>
      <w:r w:rsidRPr="00FE6CB4">
        <w:rPr>
          <w:rFonts w:asciiTheme="majorHAnsi" w:hAnsiTheme="majorHAnsi" w:cs="Tahoma"/>
        </w:rPr>
        <w:t xml:space="preserve">Član </w:t>
      </w:r>
      <w:r w:rsidR="006866B2" w:rsidRPr="00FE6CB4">
        <w:rPr>
          <w:rFonts w:asciiTheme="majorHAnsi" w:hAnsiTheme="majorHAnsi" w:cs="Tahoma"/>
        </w:rPr>
        <w:t>1</w:t>
      </w:r>
      <w:r w:rsidR="0001679E" w:rsidRPr="00FE6CB4">
        <w:rPr>
          <w:rFonts w:asciiTheme="majorHAnsi" w:hAnsiTheme="majorHAnsi" w:cs="Tahoma"/>
        </w:rPr>
        <w:t>4</w:t>
      </w:r>
    </w:p>
    <w:p w:rsidR="00A14F25" w:rsidRPr="00FE6CB4" w:rsidRDefault="00A14F25" w:rsidP="00FE6CB4">
      <w:pPr>
        <w:pStyle w:val="T30X"/>
        <w:spacing w:before="0" w:after="0"/>
        <w:ind w:firstLine="720"/>
        <w:rPr>
          <w:rFonts w:asciiTheme="majorHAnsi" w:hAnsiTheme="majorHAnsi" w:cs="Tahoma"/>
          <w:sz w:val="24"/>
          <w:szCs w:val="24"/>
        </w:rPr>
      </w:pPr>
      <w:proofErr w:type="gramStart"/>
      <w:r w:rsidRPr="00FE6CB4">
        <w:rPr>
          <w:rFonts w:asciiTheme="majorHAnsi" w:hAnsiTheme="majorHAnsi" w:cs="Tahoma"/>
          <w:sz w:val="24"/>
          <w:szCs w:val="24"/>
        </w:rPr>
        <w:t>Kod plaćanja naknade u ratama ugovara se redovna kamata, zatezna kamata i odgovarajuća sredstva obezbjeđenja plaćanja.</w:t>
      </w:r>
      <w:proofErr w:type="gramEnd"/>
    </w:p>
    <w:p w:rsidR="00A14F25" w:rsidRPr="00FE6CB4" w:rsidRDefault="00A14F25" w:rsidP="00FE6CB4">
      <w:pPr>
        <w:pStyle w:val="T30X"/>
        <w:spacing w:before="0" w:after="0"/>
        <w:ind w:firstLine="720"/>
        <w:rPr>
          <w:rFonts w:asciiTheme="majorHAnsi" w:hAnsiTheme="majorHAnsi" w:cs="Tahoma"/>
          <w:sz w:val="24"/>
          <w:szCs w:val="24"/>
        </w:rPr>
      </w:pPr>
      <w:r w:rsidRPr="00FE6CB4">
        <w:rPr>
          <w:rFonts w:asciiTheme="majorHAnsi" w:hAnsiTheme="majorHAnsi" w:cs="Tahoma"/>
          <w:sz w:val="24"/>
          <w:szCs w:val="24"/>
        </w:rPr>
        <w:t xml:space="preserve">Iznos mjesečne rate se uvećava za iznos redovne kamate koju plaća domicilna </w:t>
      </w:r>
      <w:proofErr w:type="gramStart"/>
      <w:r w:rsidRPr="00FE6CB4">
        <w:rPr>
          <w:rFonts w:asciiTheme="majorHAnsi" w:hAnsiTheme="majorHAnsi" w:cs="Tahoma"/>
          <w:sz w:val="24"/>
          <w:szCs w:val="24"/>
        </w:rPr>
        <w:t>banka</w:t>
      </w:r>
      <w:proofErr w:type="gramEnd"/>
      <w:r w:rsidRPr="00FE6CB4">
        <w:rPr>
          <w:rFonts w:asciiTheme="majorHAnsi" w:hAnsiTheme="majorHAnsi" w:cs="Tahoma"/>
          <w:sz w:val="24"/>
          <w:szCs w:val="24"/>
        </w:rPr>
        <w:t xml:space="preserve"> na oročena sredstva.</w:t>
      </w:r>
    </w:p>
    <w:p w:rsidR="002735A9" w:rsidRPr="00FE6CB4" w:rsidRDefault="00A14F25" w:rsidP="00FE6CB4">
      <w:pPr>
        <w:pStyle w:val="T30X"/>
        <w:spacing w:before="0" w:after="0"/>
        <w:ind w:firstLine="720"/>
        <w:rPr>
          <w:rFonts w:asciiTheme="majorHAnsi" w:hAnsiTheme="majorHAnsi" w:cs="Tahoma"/>
          <w:sz w:val="24"/>
          <w:szCs w:val="24"/>
        </w:rPr>
      </w:pPr>
      <w:r w:rsidRPr="00FE6CB4">
        <w:rPr>
          <w:rFonts w:asciiTheme="majorHAnsi" w:hAnsiTheme="majorHAnsi" w:cs="Tahoma"/>
          <w:sz w:val="24"/>
          <w:szCs w:val="24"/>
        </w:rPr>
        <w:t xml:space="preserve">U slučaju da </w:t>
      </w:r>
      <w:r w:rsidR="00476531" w:rsidRPr="00FE6CB4">
        <w:rPr>
          <w:rFonts w:asciiTheme="majorHAnsi" w:hAnsiTheme="majorHAnsi" w:cs="Tahoma"/>
          <w:sz w:val="24"/>
          <w:szCs w:val="24"/>
        </w:rPr>
        <w:t>vlasnik bespravnog objekta</w:t>
      </w:r>
      <w:r w:rsidR="00603B5A" w:rsidRPr="00FE6CB4">
        <w:rPr>
          <w:rFonts w:asciiTheme="majorHAnsi" w:hAnsiTheme="majorHAnsi" w:cs="Tahoma"/>
          <w:sz w:val="24"/>
          <w:szCs w:val="24"/>
        </w:rPr>
        <w:t xml:space="preserve"> </w:t>
      </w:r>
      <w:r w:rsidR="00E032E0" w:rsidRPr="00FE6CB4">
        <w:rPr>
          <w:rFonts w:asciiTheme="majorHAnsi" w:hAnsiTheme="majorHAnsi" w:cs="Tahoma"/>
          <w:sz w:val="24"/>
          <w:szCs w:val="24"/>
        </w:rPr>
        <w:t>zakasni</w:t>
      </w:r>
      <w:r w:rsidR="00603B5A" w:rsidRPr="00FE6CB4">
        <w:rPr>
          <w:rFonts w:asciiTheme="majorHAnsi" w:hAnsiTheme="majorHAnsi" w:cs="Tahoma"/>
          <w:sz w:val="24"/>
          <w:szCs w:val="24"/>
        </w:rPr>
        <w:t xml:space="preserve"> </w:t>
      </w:r>
      <w:proofErr w:type="gramStart"/>
      <w:r w:rsidRPr="00FE6CB4">
        <w:rPr>
          <w:rFonts w:asciiTheme="majorHAnsi" w:hAnsiTheme="majorHAnsi" w:cs="Tahoma"/>
          <w:sz w:val="24"/>
          <w:szCs w:val="24"/>
        </w:rPr>
        <w:t>sa</w:t>
      </w:r>
      <w:proofErr w:type="gramEnd"/>
      <w:r w:rsidRPr="00FE6CB4">
        <w:rPr>
          <w:rFonts w:asciiTheme="majorHAnsi" w:hAnsiTheme="majorHAnsi" w:cs="Tahoma"/>
          <w:sz w:val="24"/>
          <w:szCs w:val="24"/>
        </w:rPr>
        <w:t xml:space="preserve"> plaćanjem naknade, obračunava se zatezna kamata u skladu sa zakonom.</w:t>
      </w:r>
    </w:p>
    <w:p w:rsidR="002735A9" w:rsidRPr="00FE6CB4" w:rsidRDefault="002735A9" w:rsidP="00FE6CB4">
      <w:pPr>
        <w:pStyle w:val="T30X"/>
        <w:spacing w:before="0" w:after="0"/>
        <w:ind w:firstLine="720"/>
        <w:rPr>
          <w:rFonts w:asciiTheme="majorHAnsi" w:hAnsiTheme="majorHAnsi" w:cs="Tahoma"/>
          <w:sz w:val="24"/>
          <w:szCs w:val="24"/>
        </w:rPr>
      </w:pPr>
      <w:r w:rsidRPr="00FE6CB4">
        <w:rPr>
          <w:rFonts w:asciiTheme="majorHAnsi" w:hAnsiTheme="majorHAnsi" w:cs="Tahoma"/>
          <w:sz w:val="24"/>
          <w:szCs w:val="24"/>
        </w:rPr>
        <w:t>Obezbjeđenje potraživanja po osnovu plaćanja naknade</w:t>
      </w:r>
      <w:r w:rsidR="00DF2D75" w:rsidRPr="00FE6CB4">
        <w:rPr>
          <w:rFonts w:asciiTheme="majorHAnsi" w:hAnsiTheme="majorHAnsi" w:cs="Tahoma"/>
          <w:sz w:val="24"/>
          <w:szCs w:val="24"/>
        </w:rPr>
        <w:t xml:space="preserve"> u ratama</w:t>
      </w:r>
      <w:r w:rsidRPr="00FE6CB4">
        <w:rPr>
          <w:rFonts w:asciiTheme="majorHAnsi" w:hAnsiTheme="majorHAnsi" w:cs="Tahoma"/>
          <w:sz w:val="24"/>
          <w:szCs w:val="24"/>
        </w:rPr>
        <w:t xml:space="preserve"> uspostavlja se </w:t>
      </w:r>
      <w:proofErr w:type="gramStart"/>
      <w:r w:rsidRPr="00FE6CB4">
        <w:rPr>
          <w:rFonts w:asciiTheme="majorHAnsi" w:hAnsiTheme="majorHAnsi" w:cs="Tahoma"/>
          <w:sz w:val="24"/>
          <w:szCs w:val="24"/>
        </w:rPr>
        <w:t>na</w:t>
      </w:r>
      <w:proofErr w:type="gramEnd"/>
      <w:r w:rsidRPr="00FE6CB4">
        <w:rPr>
          <w:rFonts w:asciiTheme="majorHAnsi" w:hAnsiTheme="majorHAnsi" w:cs="Tahoma"/>
          <w:sz w:val="24"/>
          <w:szCs w:val="24"/>
        </w:rPr>
        <w:t xml:space="preserve"> objektu za koji se obračunava naknada</w:t>
      </w:r>
      <w:r w:rsidR="00135573" w:rsidRPr="00FE6CB4">
        <w:rPr>
          <w:rFonts w:asciiTheme="majorHAnsi" w:hAnsiTheme="majorHAnsi" w:cs="Tahoma"/>
          <w:sz w:val="24"/>
          <w:szCs w:val="24"/>
        </w:rPr>
        <w:t>, uz uslov da na istom nema upisanog tereta hipoteke.</w:t>
      </w:r>
    </w:p>
    <w:p w:rsidR="00A14F25" w:rsidRPr="00FE6CB4" w:rsidRDefault="00A14F25" w:rsidP="00FE6CB4">
      <w:pPr>
        <w:pStyle w:val="T30X"/>
        <w:spacing w:before="0" w:after="0"/>
        <w:ind w:firstLine="720"/>
        <w:rPr>
          <w:rFonts w:asciiTheme="majorHAnsi" w:hAnsiTheme="majorHAnsi" w:cs="Tahoma"/>
          <w:sz w:val="24"/>
          <w:szCs w:val="24"/>
        </w:rPr>
      </w:pPr>
      <w:r w:rsidRPr="00FE6CB4">
        <w:rPr>
          <w:rFonts w:asciiTheme="majorHAnsi" w:hAnsiTheme="majorHAnsi" w:cs="Tahoma"/>
          <w:sz w:val="24"/>
          <w:szCs w:val="24"/>
        </w:rPr>
        <w:t>Ukoliko</w:t>
      </w:r>
      <w:r w:rsidR="00D571A9" w:rsidRPr="00FE6CB4">
        <w:rPr>
          <w:rFonts w:asciiTheme="majorHAnsi" w:hAnsiTheme="majorHAnsi" w:cs="Tahoma"/>
          <w:sz w:val="24"/>
          <w:szCs w:val="24"/>
        </w:rPr>
        <w:t xml:space="preserve"> vlasnik bespravnog objekta</w:t>
      </w:r>
      <w:r w:rsidR="00603B5A" w:rsidRPr="00FE6CB4">
        <w:rPr>
          <w:rFonts w:asciiTheme="majorHAnsi" w:hAnsiTheme="majorHAnsi" w:cs="Tahoma"/>
          <w:sz w:val="24"/>
          <w:szCs w:val="24"/>
        </w:rPr>
        <w:t xml:space="preserve"> </w:t>
      </w:r>
      <w:r w:rsidR="00E032E0" w:rsidRPr="00FE6CB4">
        <w:rPr>
          <w:rFonts w:asciiTheme="majorHAnsi" w:hAnsiTheme="majorHAnsi" w:cs="Tahoma"/>
          <w:sz w:val="24"/>
          <w:szCs w:val="24"/>
        </w:rPr>
        <w:t>zakasni</w:t>
      </w:r>
      <w:r w:rsidR="00603B5A" w:rsidRPr="00FE6CB4">
        <w:rPr>
          <w:rFonts w:asciiTheme="majorHAnsi" w:hAnsiTheme="majorHAnsi" w:cs="Tahoma"/>
          <w:sz w:val="24"/>
          <w:szCs w:val="24"/>
        </w:rPr>
        <w:t xml:space="preserve"> </w:t>
      </w:r>
      <w:proofErr w:type="gramStart"/>
      <w:r w:rsidRPr="00FE6CB4">
        <w:rPr>
          <w:rFonts w:asciiTheme="majorHAnsi" w:hAnsiTheme="majorHAnsi" w:cs="Tahoma"/>
          <w:sz w:val="24"/>
          <w:szCs w:val="24"/>
        </w:rPr>
        <w:t>sa</w:t>
      </w:r>
      <w:proofErr w:type="gramEnd"/>
      <w:r w:rsidRPr="00FE6CB4">
        <w:rPr>
          <w:rFonts w:asciiTheme="majorHAnsi" w:hAnsiTheme="majorHAnsi" w:cs="Tahoma"/>
          <w:sz w:val="24"/>
          <w:szCs w:val="24"/>
        </w:rPr>
        <w:t xml:space="preserve"> plaćanjem duže od tri mjeseca, smatraće se dospjelim cjelokupni iznos duga pa će </w:t>
      </w:r>
      <w:r w:rsidR="00B65D28" w:rsidRPr="00FE6CB4">
        <w:rPr>
          <w:rFonts w:asciiTheme="majorHAnsi" w:hAnsiTheme="majorHAnsi" w:cs="Tahoma"/>
          <w:sz w:val="24"/>
          <w:szCs w:val="24"/>
        </w:rPr>
        <w:t>Agencija</w:t>
      </w:r>
      <w:r w:rsidR="00603B5A" w:rsidRPr="00FE6CB4">
        <w:rPr>
          <w:rFonts w:asciiTheme="majorHAnsi" w:hAnsiTheme="majorHAnsi" w:cs="Tahoma"/>
          <w:sz w:val="24"/>
          <w:szCs w:val="24"/>
        </w:rPr>
        <w:t xml:space="preserve"> </w:t>
      </w:r>
      <w:r w:rsidR="00DF2D75" w:rsidRPr="00FE6CB4">
        <w:rPr>
          <w:rFonts w:asciiTheme="majorHAnsi" w:hAnsiTheme="majorHAnsi" w:cs="Tahoma"/>
          <w:sz w:val="24"/>
          <w:szCs w:val="24"/>
          <w:lang w:val="sl-SI"/>
        </w:rPr>
        <w:t>pokrenuti postupak prinudne naplate</w:t>
      </w:r>
      <w:r w:rsidRPr="00FE6CB4">
        <w:rPr>
          <w:rFonts w:asciiTheme="majorHAnsi" w:hAnsiTheme="majorHAnsi" w:cs="Tahoma"/>
          <w:sz w:val="24"/>
          <w:szCs w:val="24"/>
        </w:rPr>
        <w:t>.</w:t>
      </w:r>
    </w:p>
    <w:p w:rsidR="00A14F25" w:rsidRPr="00FE6CB4" w:rsidRDefault="00A14F25" w:rsidP="00FE6CB4">
      <w:pPr>
        <w:pStyle w:val="T30X"/>
        <w:spacing w:before="0" w:after="0"/>
        <w:ind w:firstLine="720"/>
        <w:rPr>
          <w:rFonts w:asciiTheme="majorHAnsi" w:hAnsiTheme="majorHAnsi" w:cs="Tahoma"/>
          <w:sz w:val="24"/>
          <w:szCs w:val="24"/>
        </w:rPr>
      </w:pPr>
      <w:r w:rsidRPr="00FE6CB4">
        <w:rPr>
          <w:rFonts w:asciiTheme="majorHAnsi" w:hAnsiTheme="majorHAnsi" w:cs="Tahoma"/>
          <w:sz w:val="24"/>
          <w:szCs w:val="24"/>
        </w:rPr>
        <w:t xml:space="preserve">Prilikom </w:t>
      </w:r>
      <w:r w:rsidR="00B65D28" w:rsidRPr="00FE6CB4">
        <w:rPr>
          <w:rFonts w:asciiTheme="majorHAnsi" w:hAnsiTheme="majorHAnsi" w:cs="Tahoma"/>
          <w:sz w:val="24"/>
          <w:szCs w:val="24"/>
        </w:rPr>
        <w:t>zalaganja nepokretnosti</w:t>
      </w:r>
      <w:r w:rsidR="00D571A9" w:rsidRPr="00FE6CB4">
        <w:rPr>
          <w:rFonts w:asciiTheme="majorHAnsi" w:hAnsiTheme="majorHAnsi" w:cs="Tahoma"/>
          <w:sz w:val="24"/>
          <w:szCs w:val="24"/>
        </w:rPr>
        <w:t xml:space="preserve"> vlasnik bespravnog objekta</w:t>
      </w:r>
      <w:r w:rsidRPr="00FE6CB4">
        <w:rPr>
          <w:rFonts w:asciiTheme="majorHAnsi" w:hAnsiTheme="majorHAnsi" w:cs="Tahoma"/>
          <w:sz w:val="24"/>
          <w:szCs w:val="24"/>
        </w:rPr>
        <w:t xml:space="preserve"> je dužan da </w:t>
      </w:r>
      <w:proofErr w:type="gramStart"/>
      <w:r w:rsidRPr="00FE6CB4">
        <w:rPr>
          <w:rFonts w:asciiTheme="majorHAnsi" w:hAnsiTheme="majorHAnsi" w:cs="Tahoma"/>
          <w:sz w:val="24"/>
          <w:szCs w:val="24"/>
        </w:rPr>
        <w:t>od</w:t>
      </w:r>
      <w:proofErr w:type="gramEnd"/>
      <w:r w:rsidRPr="00FE6CB4">
        <w:rPr>
          <w:rFonts w:asciiTheme="majorHAnsi" w:hAnsiTheme="majorHAnsi" w:cs="Tahoma"/>
          <w:sz w:val="24"/>
          <w:szCs w:val="24"/>
        </w:rPr>
        <w:t xml:space="preserve"> ovlašćenog procjenitelja obezbijedi procjenu vrijednosti nepokretnosti na kojoj će biti uspostavljena hipoteka</w:t>
      </w:r>
      <w:r w:rsidR="00B65D28" w:rsidRPr="00FE6CB4">
        <w:rPr>
          <w:rFonts w:asciiTheme="majorHAnsi" w:hAnsiTheme="majorHAnsi" w:cs="Tahoma"/>
          <w:sz w:val="24"/>
          <w:szCs w:val="24"/>
        </w:rPr>
        <w:t xml:space="preserve"> I reda</w:t>
      </w:r>
      <w:r w:rsidR="008E6EB1" w:rsidRPr="00FE6CB4">
        <w:rPr>
          <w:rFonts w:asciiTheme="majorHAnsi" w:hAnsiTheme="majorHAnsi" w:cs="Tahoma"/>
          <w:sz w:val="24"/>
          <w:szCs w:val="24"/>
        </w:rPr>
        <w:t>.</w:t>
      </w:r>
    </w:p>
    <w:p w:rsidR="00A14F25" w:rsidRPr="00FE6CB4" w:rsidRDefault="00FA5166" w:rsidP="00FE6CB4">
      <w:pPr>
        <w:pStyle w:val="T30X"/>
        <w:spacing w:before="0" w:after="0"/>
        <w:ind w:firstLine="720"/>
        <w:rPr>
          <w:rFonts w:asciiTheme="majorHAnsi" w:hAnsiTheme="majorHAnsi" w:cs="Tahoma"/>
          <w:sz w:val="24"/>
          <w:szCs w:val="24"/>
        </w:rPr>
      </w:pPr>
      <w:r w:rsidRPr="00FE6CB4">
        <w:rPr>
          <w:rFonts w:asciiTheme="majorHAnsi" w:hAnsiTheme="majorHAnsi" w:cs="Tahoma"/>
          <w:sz w:val="24"/>
          <w:szCs w:val="24"/>
        </w:rPr>
        <w:lastRenderedPageBreak/>
        <w:t>Izuzetno od stava 4 ovog člana, p</w:t>
      </w:r>
      <w:r w:rsidR="00A14F25" w:rsidRPr="00FE6CB4">
        <w:rPr>
          <w:rFonts w:asciiTheme="majorHAnsi" w:hAnsiTheme="majorHAnsi" w:cs="Tahoma"/>
          <w:sz w:val="24"/>
          <w:szCs w:val="24"/>
        </w:rPr>
        <w:t xml:space="preserve">redmet hipoteke može biti </w:t>
      </w:r>
      <w:r w:rsidR="00412ABB" w:rsidRPr="00FE6CB4">
        <w:rPr>
          <w:rFonts w:asciiTheme="majorHAnsi" w:hAnsiTheme="majorHAnsi" w:cs="Tahoma"/>
          <w:sz w:val="24"/>
          <w:szCs w:val="24"/>
        </w:rPr>
        <w:t>objekat za koji se obračunava naknada</w:t>
      </w:r>
      <w:r w:rsidR="00DF2D75" w:rsidRPr="00FE6CB4">
        <w:rPr>
          <w:rFonts w:asciiTheme="majorHAnsi" w:hAnsiTheme="majorHAnsi" w:cs="Tahoma"/>
          <w:sz w:val="24"/>
          <w:szCs w:val="24"/>
        </w:rPr>
        <w:t xml:space="preserve"> sa zemljištem na kojem je objekat izgrađen</w:t>
      </w:r>
      <w:r w:rsidR="000815C6" w:rsidRPr="00FE6CB4">
        <w:rPr>
          <w:rFonts w:asciiTheme="majorHAnsi" w:hAnsiTheme="majorHAnsi" w:cs="Tahoma"/>
          <w:sz w:val="24"/>
          <w:szCs w:val="24"/>
        </w:rPr>
        <w:t xml:space="preserve"> pod uslovom da na njemu ne postoje teret</w:t>
      </w:r>
      <w:r w:rsidRPr="00FE6CB4">
        <w:rPr>
          <w:rFonts w:asciiTheme="majorHAnsi" w:hAnsiTheme="majorHAnsi" w:cs="Tahoma"/>
          <w:sz w:val="24"/>
          <w:szCs w:val="24"/>
        </w:rPr>
        <w:t>i</w:t>
      </w:r>
      <w:r w:rsidR="000815C6" w:rsidRPr="00FE6CB4">
        <w:rPr>
          <w:rFonts w:asciiTheme="majorHAnsi" w:hAnsiTheme="majorHAnsi" w:cs="Tahoma"/>
          <w:sz w:val="24"/>
          <w:szCs w:val="24"/>
        </w:rPr>
        <w:t xml:space="preserve"> i ograničenja, </w:t>
      </w:r>
      <w:r w:rsidR="0082283B" w:rsidRPr="00FE6CB4">
        <w:rPr>
          <w:rFonts w:asciiTheme="majorHAnsi" w:hAnsiTheme="majorHAnsi" w:cs="Tahoma"/>
          <w:sz w:val="24"/>
          <w:szCs w:val="24"/>
        </w:rPr>
        <w:t xml:space="preserve">kao i druge </w:t>
      </w:r>
      <w:r w:rsidR="00A14F25" w:rsidRPr="00FE6CB4">
        <w:rPr>
          <w:rFonts w:asciiTheme="majorHAnsi" w:hAnsiTheme="majorHAnsi" w:cs="Tahoma"/>
          <w:sz w:val="24"/>
          <w:szCs w:val="24"/>
        </w:rPr>
        <w:t>nepokretnost</w:t>
      </w:r>
      <w:r w:rsidRPr="00FE6CB4">
        <w:rPr>
          <w:rFonts w:asciiTheme="majorHAnsi" w:hAnsiTheme="majorHAnsi" w:cs="Tahoma"/>
          <w:sz w:val="24"/>
          <w:szCs w:val="24"/>
        </w:rPr>
        <w:t>i</w:t>
      </w:r>
      <w:r w:rsidR="00A14F25" w:rsidRPr="00FE6CB4">
        <w:rPr>
          <w:rFonts w:asciiTheme="majorHAnsi" w:hAnsiTheme="majorHAnsi" w:cs="Tahoma"/>
          <w:sz w:val="24"/>
          <w:szCs w:val="24"/>
        </w:rPr>
        <w:t xml:space="preserve"> upisan</w:t>
      </w:r>
      <w:r w:rsidRPr="00FE6CB4">
        <w:rPr>
          <w:rFonts w:asciiTheme="majorHAnsi" w:hAnsiTheme="majorHAnsi" w:cs="Tahoma"/>
          <w:sz w:val="24"/>
          <w:szCs w:val="24"/>
        </w:rPr>
        <w:t>e</w:t>
      </w:r>
      <w:r w:rsidR="00A14F25" w:rsidRPr="00FE6CB4">
        <w:rPr>
          <w:rFonts w:asciiTheme="majorHAnsi" w:hAnsiTheme="majorHAnsi" w:cs="Tahoma"/>
          <w:sz w:val="24"/>
          <w:szCs w:val="24"/>
        </w:rPr>
        <w:t xml:space="preserve"> u listu nepokretnosti bez tereta i ograničenja i to: stambeni prostor, poslovni prostor, urbanistička parcela,</w:t>
      </w:r>
      <w:r w:rsidR="00B65D28" w:rsidRPr="00FE6CB4">
        <w:rPr>
          <w:rFonts w:asciiTheme="majorHAnsi" w:hAnsiTheme="majorHAnsi" w:cs="Tahoma"/>
          <w:sz w:val="24"/>
          <w:szCs w:val="24"/>
        </w:rPr>
        <w:t xml:space="preserve"> garancija banke,</w:t>
      </w:r>
      <w:r w:rsidR="00A14F25" w:rsidRPr="00FE6CB4">
        <w:rPr>
          <w:rFonts w:asciiTheme="majorHAnsi" w:hAnsiTheme="majorHAnsi" w:cs="Tahoma"/>
          <w:sz w:val="24"/>
          <w:szCs w:val="24"/>
        </w:rPr>
        <w:t xml:space="preserve"> a izuzetno ukoliko Glavni grad ima interesa i katastarska parcela na kojoj je planirana izgradnja objekata od opšteg interesa koji služe komunalnom opremanju lokacije</w:t>
      </w:r>
      <w:r w:rsidR="007E6573" w:rsidRPr="00FE6CB4">
        <w:rPr>
          <w:rFonts w:asciiTheme="majorHAnsi" w:hAnsiTheme="majorHAnsi" w:cs="Tahoma"/>
          <w:sz w:val="24"/>
          <w:szCs w:val="24"/>
        </w:rPr>
        <w:t>.</w:t>
      </w:r>
    </w:p>
    <w:p w:rsidR="000804F5" w:rsidRPr="00FE6CB4" w:rsidRDefault="000804F5" w:rsidP="00FE6CB4">
      <w:pPr>
        <w:pStyle w:val="T30X"/>
        <w:spacing w:before="0" w:after="0"/>
        <w:ind w:firstLine="720"/>
        <w:rPr>
          <w:rFonts w:asciiTheme="majorHAnsi" w:hAnsiTheme="majorHAnsi" w:cs="Tahoma"/>
          <w:sz w:val="24"/>
          <w:szCs w:val="24"/>
        </w:rPr>
      </w:pPr>
      <w:r w:rsidRPr="00FE6CB4">
        <w:rPr>
          <w:rFonts w:asciiTheme="majorHAnsi" w:hAnsiTheme="majorHAnsi" w:cs="Tahoma"/>
          <w:sz w:val="24"/>
          <w:szCs w:val="24"/>
        </w:rPr>
        <w:t xml:space="preserve">Sredstva obezbeđenja iz </w:t>
      </w:r>
      <w:r w:rsidR="00FA5166" w:rsidRPr="00FE6CB4">
        <w:rPr>
          <w:rFonts w:asciiTheme="majorHAnsi" w:hAnsiTheme="majorHAnsi" w:cs="Tahoma"/>
          <w:sz w:val="24"/>
          <w:szCs w:val="24"/>
        </w:rPr>
        <w:t>stav</w:t>
      </w:r>
      <w:r w:rsidR="00CB1BF7" w:rsidRPr="00FE6CB4">
        <w:rPr>
          <w:rFonts w:asciiTheme="majorHAnsi" w:hAnsiTheme="majorHAnsi" w:cs="Tahoma"/>
          <w:sz w:val="24"/>
          <w:szCs w:val="24"/>
        </w:rPr>
        <w:t>a</w:t>
      </w:r>
      <w:r w:rsidR="00FA5166" w:rsidRPr="00FE6CB4">
        <w:rPr>
          <w:rFonts w:asciiTheme="majorHAnsi" w:hAnsiTheme="majorHAnsi" w:cs="Tahoma"/>
          <w:sz w:val="24"/>
          <w:szCs w:val="24"/>
        </w:rPr>
        <w:t xml:space="preserve"> 7 ovog člana</w:t>
      </w:r>
      <w:r w:rsidRPr="00FE6CB4">
        <w:rPr>
          <w:rFonts w:asciiTheme="majorHAnsi" w:hAnsiTheme="majorHAnsi" w:cs="Tahoma"/>
          <w:sz w:val="24"/>
          <w:szCs w:val="24"/>
        </w:rPr>
        <w:t xml:space="preserve"> ne isključuju pravo Agencije </w:t>
      </w:r>
      <w:proofErr w:type="gramStart"/>
      <w:r w:rsidRPr="00FE6CB4">
        <w:rPr>
          <w:rFonts w:asciiTheme="majorHAnsi" w:hAnsiTheme="majorHAnsi" w:cs="Tahoma"/>
          <w:sz w:val="24"/>
          <w:szCs w:val="24"/>
        </w:rPr>
        <w:t>na</w:t>
      </w:r>
      <w:proofErr w:type="gramEnd"/>
      <w:r w:rsidRPr="00FE6CB4">
        <w:rPr>
          <w:rFonts w:asciiTheme="majorHAnsi" w:hAnsiTheme="majorHAnsi" w:cs="Tahoma"/>
          <w:sz w:val="24"/>
          <w:szCs w:val="24"/>
        </w:rPr>
        <w:t xml:space="preserve"> pokretanje sudskog, izvršnog i drugih </w:t>
      </w:r>
      <w:r w:rsidR="004E4E97" w:rsidRPr="00FE6CB4">
        <w:rPr>
          <w:rFonts w:asciiTheme="majorHAnsi" w:hAnsiTheme="majorHAnsi" w:cs="Tahoma"/>
          <w:sz w:val="24"/>
          <w:szCs w:val="24"/>
        </w:rPr>
        <w:t>postupaka u cilju naplate potraživanja.</w:t>
      </w:r>
    </w:p>
    <w:p w:rsidR="00135573" w:rsidRPr="00FE6CB4" w:rsidRDefault="00135573" w:rsidP="00FE6CB4">
      <w:pPr>
        <w:pStyle w:val="T30X"/>
        <w:spacing w:before="0" w:after="0"/>
        <w:ind w:firstLine="0"/>
        <w:rPr>
          <w:rFonts w:asciiTheme="majorHAnsi" w:hAnsiTheme="majorHAnsi" w:cs="Tahoma"/>
          <w:sz w:val="24"/>
          <w:szCs w:val="24"/>
        </w:rPr>
      </w:pPr>
    </w:p>
    <w:p w:rsidR="00C530B7" w:rsidRPr="00FE6CB4" w:rsidRDefault="00A14F25" w:rsidP="00FE6CB4">
      <w:pPr>
        <w:pStyle w:val="C30X"/>
        <w:spacing w:before="0" w:after="0"/>
        <w:rPr>
          <w:rFonts w:asciiTheme="majorHAnsi" w:hAnsiTheme="majorHAnsi" w:cs="Tahoma"/>
        </w:rPr>
      </w:pPr>
      <w:r w:rsidRPr="00FE6CB4">
        <w:rPr>
          <w:rFonts w:asciiTheme="majorHAnsi" w:hAnsiTheme="majorHAnsi" w:cs="Tahoma"/>
        </w:rPr>
        <w:t xml:space="preserve">Član </w:t>
      </w:r>
      <w:r w:rsidR="006866B2" w:rsidRPr="00FE6CB4">
        <w:rPr>
          <w:rFonts w:asciiTheme="majorHAnsi" w:hAnsiTheme="majorHAnsi" w:cs="Tahoma"/>
        </w:rPr>
        <w:t>1</w:t>
      </w:r>
      <w:r w:rsidR="0001679E" w:rsidRPr="00FE6CB4">
        <w:rPr>
          <w:rFonts w:asciiTheme="majorHAnsi" w:hAnsiTheme="majorHAnsi" w:cs="Tahoma"/>
        </w:rPr>
        <w:t>5</w:t>
      </w:r>
    </w:p>
    <w:p w:rsidR="00A601C9" w:rsidRPr="00FE6CB4" w:rsidRDefault="00C530B7" w:rsidP="00FE6CB4">
      <w:pPr>
        <w:pStyle w:val="T30X"/>
        <w:spacing w:before="0" w:after="0"/>
        <w:ind w:firstLine="720"/>
        <w:rPr>
          <w:rFonts w:asciiTheme="majorHAnsi" w:hAnsiTheme="majorHAnsi"/>
          <w:sz w:val="24"/>
          <w:szCs w:val="24"/>
        </w:rPr>
      </w:pPr>
      <w:r w:rsidRPr="00FE6CB4">
        <w:rPr>
          <w:rFonts w:asciiTheme="majorHAnsi" w:hAnsiTheme="majorHAnsi" w:cs="Tahoma"/>
          <w:sz w:val="24"/>
          <w:szCs w:val="24"/>
        </w:rPr>
        <w:t xml:space="preserve">Rokovi za komunalno opremanje koje realizuje lokalna samouprava, utvrđuju se u skladu </w:t>
      </w:r>
      <w:proofErr w:type="gramStart"/>
      <w:r w:rsidRPr="00FE6CB4">
        <w:rPr>
          <w:rFonts w:asciiTheme="majorHAnsi" w:hAnsiTheme="majorHAnsi" w:cs="Tahoma"/>
          <w:sz w:val="24"/>
          <w:szCs w:val="24"/>
        </w:rPr>
        <w:t>sa</w:t>
      </w:r>
      <w:proofErr w:type="gramEnd"/>
      <w:r w:rsidRPr="00FE6CB4">
        <w:rPr>
          <w:rFonts w:asciiTheme="majorHAnsi" w:hAnsiTheme="majorHAnsi" w:cs="Tahoma"/>
          <w:sz w:val="24"/>
          <w:szCs w:val="24"/>
        </w:rPr>
        <w:t xml:space="preserve"> Programom </w:t>
      </w:r>
      <w:r w:rsidR="007A6716" w:rsidRPr="00FE6CB4">
        <w:rPr>
          <w:rFonts w:asciiTheme="majorHAnsi" w:hAnsiTheme="majorHAnsi" w:cs="Tahoma"/>
          <w:sz w:val="24"/>
          <w:szCs w:val="24"/>
        </w:rPr>
        <w:t>urbane sanacije</w:t>
      </w:r>
      <w:r w:rsidR="003C33B7" w:rsidRPr="00FE6CB4">
        <w:rPr>
          <w:rFonts w:asciiTheme="majorHAnsi" w:hAnsiTheme="majorHAnsi" w:cs="Tahoma"/>
          <w:sz w:val="24"/>
          <w:szCs w:val="24"/>
        </w:rPr>
        <w:t>, pod uslovom da</w:t>
      </w:r>
      <w:r w:rsidR="00FE6CB4" w:rsidRPr="00FE6CB4">
        <w:rPr>
          <w:rFonts w:asciiTheme="majorHAnsi" w:hAnsiTheme="majorHAnsi" w:cs="Tahoma"/>
          <w:sz w:val="24"/>
          <w:szCs w:val="24"/>
        </w:rPr>
        <w:t xml:space="preserve"> </w:t>
      </w:r>
      <w:r w:rsidR="003C33B7" w:rsidRPr="00FE6CB4">
        <w:rPr>
          <w:rFonts w:asciiTheme="majorHAnsi" w:hAnsiTheme="majorHAnsi" w:cs="Tahoma"/>
          <w:sz w:val="24"/>
          <w:szCs w:val="24"/>
        </w:rPr>
        <w:t>su riješeni imovinsko pravni odnosi</w:t>
      </w:r>
      <w:r w:rsidR="00A601C9" w:rsidRPr="00FE6CB4">
        <w:rPr>
          <w:rFonts w:asciiTheme="majorHAnsi" w:hAnsiTheme="majorHAnsi"/>
          <w:sz w:val="24"/>
          <w:szCs w:val="24"/>
        </w:rPr>
        <w:t xml:space="preserve"> i počinju da teku nakon riješenih imovinsko pravnih odnosa.</w:t>
      </w:r>
    </w:p>
    <w:p w:rsidR="00A14F25" w:rsidRPr="00FE6CB4" w:rsidRDefault="00A14F25" w:rsidP="00FE6CB4">
      <w:pPr>
        <w:pStyle w:val="C30X"/>
        <w:spacing w:before="0" w:after="0"/>
        <w:jc w:val="left"/>
        <w:rPr>
          <w:rFonts w:asciiTheme="majorHAnsi" w:hAnsiTheme="majorHAnsi" w:cs="Tahoma"/>
        </w:rPr>
      </w:pPr>
    </w:p>
    <w:p w:rsidR="00C530B7" w:rsidRPr="00FE6CB4" w:rsidRDefault="00C530B7" w:rsidP="00FE6CB4">
      <w:pPr>
        <w:pStyle w:val="C30X"/>
        <w:spacing w:before="0" w:after="0"/>
        <w:rPr>
          <w:rFonts w:asciiTheme="majorHAnsi" w:hAnsiTheme="majorHAnsi" w:cs="Tahoma"/>
        </w:rPr>
      </w:pPr>
      <w:r w:rsidRPr="00FE6CB4">
        <w:rPr>
          <w:rFonts w:asciiTheme="majorHAnsi" w:hAnsiTheme="majorHAnsi" w:cs="Tahoma"/>
        </w:rPr>
        <w:t>Član 1</w:t>
      </w:r>
      <w:r w:rsidR="0001679E" w:rsidRPr="00FE6CB4">
        <w:rPr>
          <w:rFonts w:asciiTheme="majorHAnsi" w:hAnsiTheme="majorHAnsi" w:cs="Tahoma"/>
        </w:rPr>
        <w:t>6</w:t>
      </w:r>
    </w:p>
    <w:p w:rsidR="00A14F25" w:rsidRPr="00FE6CB4" w:rsidRDefault="00A14F25" w:rsidP="00FE6CB4">
      <w:pPr>
        <w:pStyle w:val="T30X"/>
        <w:spacing w:before="0" w:after="0"/>
        <w:ind w:firstLine="720"/>
        <w:rPr>
          <w:rFonts w:asciiTheme="majorHAnsi" w:hAnsiTheme="majorHAnsi" w:cs="Tahoma"/>
          <w:sz w:val="24"/>
          <w:szCs w:val="24"/>
        </w:rPr>
      </w:pPr>
      <w:r w:rsidRPr="00FE6CB4">
        <w:rPr>
          <w:rFonts w:asciiTheme="majorHAnsi" w:hAnsiTheme="majorHAnsi" w:cs="Tahoma"/>
          <w:sz w:val="24"/>
          <w:szCs w:val="24"/>
        </w:rPr>
        <w:t xml:space="preserve">Nadzor </w:t>
      </w:r>
      <w:proofErr w:type="gramStart"/>
      <w:r w:rsidRPr="00FE6CB4">
        <w:rPr>
          <w:rFonts w:asciiTheme="majorHAnsi" w:hAnsiTheme="majorHAnsi" w:cs="Tahoma"/>
          <w:sz w:val="24"/>
          <w:szCs w:val="24"/>
        </w:rPr>
        <w:t>nad</w:t>
      </w:r>
      <w:proofErr w:type="gramEnd"/>
      <w:r w:rsidRPr="00FE6CB4">
        <w:rPr>
          <w:rFonts w:asciiTheme="majorHAnsi" w:hAnsiTheme="majorHAnsi" w:cs="Tahoma"/>
          <w:sz w:val="24"/>
          <w:szCs w:val="24"/>
        </w:rPr>
        <w:t xml:space="preserve"> sprovođenjem ove odluke vrši organ lokalne uprave n</w:t>
      </w:r>
      <w:r w:rsidR="006866B2" w:rsidRPr="00FE6CB4">
        <w:rPr>
          <w:rFonts w:asciiTheme="majorHAnsi" w:hAnsiTheme="majorHAnsi" w:cs="Tahoma"/>
          <w:sz w:val="24"/>
          <w:szCs w:val="24"/>
        </w:rPr>
        <w:t xml:space="preserve">adležan za </w:t>
      </w:r>
      <w:r w:rsidR="007A6716" w:rsidRPr="00FE6CB4">
        <w:rPr>
          <w:rFonts w:asciiTheme="majorHAnsi" w:hAnsiTheme="majorHAnsi" w:cs="Tahoma"/>
          <w:sz w:val="24"/>
          <w:szCs w:val="24"/>
        </w:rPr>
        <w:t>izdavanje rješenja o legalizaciji</w:t>
      </w:r>
      <w:r w:rsidRPr="00FE6CB4">
        <w:rPr>
          <w:rFonts w:asciiTheme="majorHAnsi" w:hAnsiTheme="majorHAnsi" w:cs="Tahoma"/>
          <w:sz w:val="24"/>
          <w:szCs w:val="24"/>
        </w:rPr>
        <w:t>.</w:t>
      </w:r>
    </w:p>
    <w:p w:rsidR="00F5014C" w:rsidRPr="00FE6CB4" w:rsidRDefault="00F5014C" w:rsidP="00FE6CB4">
      <w:pPr>
        <w:pStyle w:val="N01X"/>
        <w:spacing w:before="0" w:after="0"/>
        <w:jc w:val="both"/>
        <w:rPr>
          <w:rFonts w:asciiTheme="majorHAnsi" w:hAnsiTheme="majorHAnsi" w:cs="Tahoma"/>
        </w:rPr>
      </w:pPr>
    </w:p>
    <w:p w:rsidR="00A14F25" w:rsidRPr="00FE6CB4" w:rsidRDefault="00A14F25" w:rsidP="00FE6CB4">
      <w:pPr>
        <w:pStyle w:val="N01X"/>
        <w:spacing w:before="0" w:after="0"/>
        <w:rPr>
          <w:rFonts w:asciiTheme="majorHAnsi" w:hAnsiTheme="majorHAnsi" w:cs="Tahoma"/>
        </w:rPr>
      </w:pPr>
      <w:r w:rsidRPr="00FE6CB4">
        <w:rPr>
          <w:rFonts w:asciiTheme="majorHAnsi" w:hAnsiTheme="majorHAnsi" w:cs="Tahoma"/>
        </w:rPr>
        <w:t>IV PRELAZNE I ZAVRŠNE ODREDBE</w:t>
      </w:r>
    </w:p>
    <w:p w:rsidR="00A14F25" w:rsidRPr="00FE6CB4" w:rsidRDefault="00A14F25" w:rsidP="00FE6CB4">
      <w:pPr>
        <w:pStyle w:val="C30X"/>
        <w:spacing w:before="0" w:after="0"/>
        <w:jc w:val="both"/>
        <w:rPr>
          <w:rFonts w:asciiTheme="majorHAnsi" w:hAnsiTheme="majorHAnsi" w:cs="Tahoma"/>
        </w:rPr>
      </w:pPr>
    </w:p>
    <w:p w:rsidR="00A14F25" w:rsidRPr="00FE6CB4" w:rsidRDefault="00A14F25" w:rsidP="00FE6CB4">
      <w:pPr>
        <w:pStyle w:val="C30X"/>
        <w:spacing w:before="0" w:after="0"/>
        <w:rPr>
          <w:rFonts w:asciiTheme="majorHAnsi" w:hAnsiTheme="majorHAnsi" w:cs="Tahoma"/>
        </w:rPr>
      </w:pPr>
      <w:r w:rsidRPr="00FE6CB4">
        <w:rPr>
          <w:rFonts w:asciiTheme="majorHAnsi" w:hAnsiTheme="majorHAnsi" w:cs="Tahoma"/>
        </w:rPr>
        <w:t xml:space="preserve">Član </w:t>
      </w:r>
      <w:r w:rsidR="0063725A" w:rsidRPr="00FE6CB4">
        <w:rPr>
          <w:rFonts w:asciiTheme="majorHAnsi" w:hAnsiTheme="majorHAnsi" w:cs="Tahoma"/>
        </w:rPr>
        <w:t>1</w:t>
      </w:r>
      <w:r w:rsidR="0001679E" w:rsidRPr="00FE6CB4">
        <w:rPr>
          <w:rFonts w:asciiTheme="majorHAnsi" w:hAnsiTheme="majorHAnsi" w:cs="Tahoma"/>
        </w:rPr>
        <w:t>7</w:t>
      </w:r>
    </w:p>
    <w:p w:rsidR="00135573" w:rsidRPr="00FE6CB4" w:rsidRDefault="00135573" w:rsidP="00FE6CB4">
      <w:pPr>
        <w:ind w:firstLine="720"/>
        <w:jc w:val="both"/>
        <w:rPr>
          <w:rFonts w:asciiTheme="majorHAnsi" w:eastAsia="Times New Roman" w:hAnsiTheme="majorHAnsi"/>
          <w:sz w:val="24"/>
          <w:szCs w:val="24"/>
        </w:rPr>
      </w:pPr>
      <w:r w:rsidRPr="00FE6CB4">
        <w:rPr>
          <w:rFonts w:asciiTheme="majorHAnsi" w:eastAsia="Times New Roman" w:hAnsiTheme="majorHAnsi"/>
          <w:sz w:val="24"/>
          <w:szCs w:val="24"/>
        </w:rPr>
        <w:t xml:space="preserve">Postupci u kojima je </w:t>
      </w:r>
      <w:r w:rsidR="00A05A64" w:rsidRPr="00FE6CB4">
        <w:rPr>
          <w:rFonts w:asciiTheme="majorHAnsi" w:eastAsia="Times New Roman" w:hAnsiTheme="majorHAnsi"/>
          <w:sz w:val="24"/>
          <w:szCs w:val="24"/>
        </w:rPr>
        <w:t xml:space="preserve">vlasnik bespravnog objekta podnio zahtjev za legalizaciju bespravnog objekta ili dijela objekta </w:t>
      </w:r>
      <w:r w:rsidR="004557DC" w:rsidRPr="00FE6CB4">
        <w:rPr>
          <w:rFonts w:asciiTheme="majorHAnsi" w:hAnsiTheme="majorHAnsi"/>
          <w:sz w:val="24"/>
          <w:szCs w:val="24"/>
        </w:rPr>
        <w:t>do dana stupanja na snagu ove odluke</w:t>
      </w:r>
      <w:r w:rsidR="004557DC" w:rsidRPr="00FE6CB4">
        <w:rPr>
          <w:rFonts w:asciiTheme="majorHAnsi" w:eastAsia="Times New Roman" w:hAnsiTheme="majorHAnsi"/>
          <w:sz w:val="24"/>
          <w:szCs w:val="24"/>
        </w:rPr>
        <w:t xml:space="preserve"> </w:t>
      </w:r>
      <w:r w:rsidRPr="00FE6CB4">
        <w:rPr>
          <w:rFonts w:asciiTheme="majorHAnsi" w:eastAsia="Times New Roman" w:hAnsiTheme="majorHAnsi"/>
          <w:sz w:val="24"/>
          <w:szCs w:val="24"/>
        </w:rPr>
        <w:t xml:space="preserve">okončaće se po odredbama Odluke o naknadi za </w:t>
      </w:r>
      <w:r w:rsidR="00A05A64" w:rsidRPr="00FE6CB4">
        <w:rPr>
          <w:rFonts w:asciiTheme="majorHAnsi" w:eastAsia="Times New Roman" w:hAnsiTheme="majorHAnsi"/>
          <w:sz w:val="24"/>
          <w:szCs w:val="24"/>
        </w:rPr>
        <w:t>urbanu sanaciju</w:t>
      </w:r>
      <w:r w:rsidRPr="00FE6CB4">
        <w:rPr>
          <w:rFonts w:asciiTheme="majorHAnsi" w:eastAsia="Times New Roman" w:hAnsiTheme="majorHAnsi"/>
          <w:sz w:val="24"/>
          <w:szCs w:val="24"/>
        </w:rPr>
        <w:t xml:space="preserve"> (''Sl.list C</w:t>
      </w:r>
      <w:r w:rsidR="00A05A64" w:rsidRPr="00FE6CB4">
        <w:rPr>
          <w:rFonts w:asciiTheme="majorHAnsi" w:eastAsia="Times New Roman" w:hAnsiTheme="majorHAnsi"/>
          <w:sz w:val="24"/>
          <w:szCs w:val="24"/>
        </w:rPr>
        <w:t xml:space="preserve">rne </w:t>
      </w:r>
      <w:r w:rsidRPr="00FE6CB4">
        <w:rPr>
          <w:rFonts w:asciiTheme="majorHAnsi" w:eastAsia="Times New Roman" w:hAnsiTheme="majorHAnsi"/>
          <w:sz w:val="24"/>
          <w:szCs w:val="24"/>
        </w:rPr>
        <w:t>G</w:t>
      </w:r>
      <w:r w:rsidR="00A05A64" w:rsidRPr="00FE6CB4">
        <w:rPr>
          <w:rFonts w:asciiTheme="majorHAnsi" w:eastAsia="Times New Roman" w:hAnsiTheme="majorHAnsi"/>
          <w:sz w:val="24"/>
          <w:szCs w:val="24"/>
        </w:rPr>
        <w:t>ore</w:t>
      </w:r>
      <w:r w:rsidRPr="00FE6CB4">
        <w:rPr>
          <w:rFonts w:asciiTheme="majorHAnsi" w:eastAsia="Times New Roman" w:hAnsiTheme="majorHAnsi"/>
          <w:sz w:val="24"/>
          <w:szCs w:val="24"/>
        </w:rPr>
        <w:t xml:space="preserve"> – opštinski propisi'', broj 0</w:t>
      </w:r>
      <w:r w:rsidR="00A05A64" w:rsidRPr="00FE6CB4">
        <w:rPr>
          <w:rFonts w:asciiTheme="majorHAnsi" w:eastAsia="Times New Roman" w:hAnsiTheme="majorHAnsi"/>
          <w:sz w:val="24"/>
          <w:szCs w:val="24"/>
        </w:rPr>
        <w:t>3</w:t>
      </w:r>
      <w:r w:rsidRPr="00FE6CB4">
        <w:rPr>
          <w:rFonts w:asciiTheme="majorHAnsi" w:eastAsia="Times New Roman" w:hAnsiTheme="majorHAnsi"/>
          <w:sz w:val="24"/>
          <w:szCs w:val="24"/>
        </w:rPr>
        <w:t>9/</w:t>
      </w:r>
      <w:r w:rsidR="00A05A64" w:rsidRPr="00FE6CB4">
        <w:rPr>
          <w:rFonts w:asciiTheme="majorHAnsi" w:eastAsia="Times New Roman" w:hAnsiTheme="majorHAnsi"/>
          <w:sz w:val="24"/>
          <w:szCs w:val="24"/>
        </w:rPr>
        <w:t>20</w:t>
      </w:r>
      <w:r w:rsidRPr="00FE6CB4">
        <w:rPr>
          <w:rFonts w:asciiTheme="majorHAnsi" w:eastAsia="Times New Roman" w:hAnsiTheme="majorHAnsi"/>
          <w:sz w:val="24"/>
          <w:szCs w:val="24"/>
        </w:rPr>
        <w:t>)</w:t>
      </w:r>
      <w:r w:rsidR="004557DC" w:rsidRPr="00FE6CB4">
        <w:rPr>
          <w:rFonts w:asciiTheme="majorHAnsi" w:eastAsia="Times New Roman" w:hAnsiTheme="majorHAnsi"/>
          <w:sz w:val="24"/>
          <w:szCs w:val="24"/>
        </w:rPr>
        <w:t>, ukoliko je to povoljnije za vlasnika bespravnog objekta.</w:t>
      </w:r>
    </w:p>
    <w:p w:rsidR="00F5014C" w:rsidRPr="00FE6CB4" w:rsidRDefault="00E04C6B" w:rsidP="00FE6CB4">
      <w:pPr>
        <w:ind w:left="3600"/>
        <w:rPr>
          <w:rFonts w:asciiTheme="majorHAnsi" w:eastAsia="Times New Roman" w:hAnsiTheme="majorHAnsi"/>
          <w:b/>
          <w:sz w:val="24"/>
          <w:szCs w:val="24"/>
        </w:rPr>
      </w:pPr>
      <w:r w:rsidRPr="00FE6CB4">
        <w:rPr>
          <w:rFonts w:asciiTheme="majorHAnsi" w:eastAsia="Times New Roman" w:hAnsiTheme="majorHAnsi"/>
          <w:b/>
          <w:sz w:val="24"/>
          <w:szCs w:val="24"/>
        </w:rPr>
        <w:t xml:space="preserve">           </w:t>
      </w:r>
    </w:p>
    <w:p w:rsidR="00135573" w:rsidRPr="00FE6CB4" w:rsidRDefault="006B30D7" w:rsidP="00FE6CB4">
      <w:pPr>
        <w:jc w:val="center"/>
        <w:rPr>
          <w:rFonts w:asciiTheme="majorHAnsi" w:eastAsia="Times New Roman" w:hAnsiTheme="majorHAnsi"/>
          <w:b/>
          <w:sz w:val="24"/>
          <w:szCs w:val="24"/>
        </w:rPr>
      </w:pPr>
      <w:r w:rsidRPr="00FE6CB4">
        <w:rPr>
          <w:rFonts w:asciiTheme="majorHAnsi" w:eastAsia="Times New Roman" w:hAnsiTheme="majorHAnsi"/>
          <w:b/>
          <w:sz w:val="24"/>
          <w:szCs w:val="24"/>
        </w:rPr>
        <w:t>Član 1</w:t>
      </w:r>
      <w:r w:rsidR="0001679E" w:rsidRPr="00FE6CB4">
        <w:rPr>
          <w:rFonts w:asciiTheme="majorHAnsi" w:eastAsia="Times New Roman" w:hAnsiTheme="majorHAnsi"/>
          <w:b/>
          <w:sz w:val="24"/>
          <w:szCs w:val="24"/>
        </w:rPr>
        <w:t>8</w:t>
      </w:r>
    </w:p>
    <w:p w:rsidR="006866B2" w:rsidRPr="00FE6CB4" w:rsidRDefault="006866B2" w:rsidP="00FE6CB4">
      <w:pPr>
        <w:ind w:firstLine="720"/>
        <w:jc w:val="both"/>
        <w:rPr>
          <w:rFonts w:asciiTheme="majorHAnsi" w:eastAsia="Times New Roman" w:hAnsiTheme="majorHAnsi"/>
          <w:sz w:val="24"/>
          <w:szCs w:val="24"/>
        </w:rPr>
      </w:pPr>
      <w:r w:rsidRPr="00FE6CB4">
        <w:rPr>
          <w:rFonts w:asciiTheme="majorHAnsi" w:eastAsia="Times New Roman" w:hAnsiTheme="majorHAnsi"/>
          <w:sz w:val="24"/>
          <w:szCs w:val="24"/>
        </w:rPr>
        <w:t xml:space="preserve">Danom stupanja </w:t>
      </w:r>
      <w:proofErr w:type="gramStart"/>
      <w:r w:rsidRPr="00FE6CB4">
        <w:rPr>
          <w:rFonts w:asciiTheme="majorHAnsi" w:eastAsia="Times New Roman" w:hAnsiTheme="majorHAnsi"/>
          <w:sz w:val="24"/>
          <w:szCs w:val="24"/>
        </w:rPr>
        <w:t>na</w:t>
      </w:r>
      <w:proofErr w:type="gramEnd"/>
      <w:r w:rsidRPr="00FE6CB4">
        <w:rPr>
          <w:rFonts w:asciiTheme="majorHAnsi" w:eastAsia="Times New Roman" w:hAnsiTheme="majorHAnsi"/>
          <w:sz w:val="24"/>
          <w:szCs w:val="24"/>
        </w:rPr>
        <w:t xml:space="preserve"> snagu ove odluke prestaje da važi Odluka o naknadi za </w:t>
      </w:r>
      <w:r w:rsidR="00A05A64" w:rsidRPr="00FE6CB4">
        <w:rPr>
          <w:rFonts w:asciiTheme="majorHAnsi" w:eastAsia="Times New Roman" w:hAnsiTheme="majorHAnsi"/>
          <w:sz w:val="24"/>
          <w:szCs w:val="24"/>
        </w:rPr>
        <w:t>urbanu sanaciju</w:t>
      </w:r>
      <w:r w:rsidRPr="00FE6CB4">
        <w:rPr>
          <w:rFonts w:asciiTheme="majorHAnsi" w:eastAsia="Times New Roman" w:hAnsiTheme="majorHAnsi"/>
          <w:sz w:val="24"/>
          <w:szCs w:val="24"/>
        </w:rPr>
        <w:t xml:space="preserve"> ("Sl. list C</w:t>
      </w:r>
      <w:r w:rsidR="00A05A64" w:rsidRPr="00FE6CB4">
        <w:rPr>
          <w:rFonts w:asciiTheme="majorHAnsi" w:eastAsia="Times New Roman" w:hAnsiTheme="majorHAnsi"/>
          <w:sz w:val="24"/>
          <w:szCs w:val="24"/>
        </w:rPr>
        <w:t xml:space="preserve">rne </w:t>
      </w:r>
      <w:r w:rsidRPr="00FE6CB4">
        <w:rPr>
          <w:rFonts w:asciiTheme="majorHAnsi" w:eastAsia="Times New Roman" w:hAnsiTheme="majorHAnsi"/>
          <w:sz w:val="24"/>
          <w:szCs w:val="24"/>
        </w:rPr>
        <w:t>G</w:t>
      </w:r>
      <w:r w:rsidR="00A05A64" w:rsidRPr="00FE6CB4">
        <w:rPr>
          <w:rFonts w:asciiTheme="majorHAnsi" w:eastAsia="Times New Roman" w:hAnsiTheme="majorHAnsi"/>
          <w:sz w:val="24"/>
          <w:szCs w:val="24"/>
        </w:rPr>
        <w:t>ore</w:t>
      </w:r>
      <w:r w:rsidRPr="00FE6CB4">
        <w:rPr>
          <w:rFonts w:asciiTheme="majorHAnsi" w:eastAsia="Times New Roman" w:hAnsiTheme="majorHAnsi"/>
          <w:sz w:val="24"/>
          <w:szCs w:val="24"/>
        </w:rPr>
        <w:t xml:space="preserve"> - opštinski propisi", broj 0</w:t>
      </w:r>
      <w:r w:rsidR="00A05A64" w:rsidRPr="00FE6CB4">
        <w:rPr>
          <w:rFonts w:asciiTheme="majorHAnsi" w:eastAsia="Times New Roman" w:hAnsiTheme="majorHAnsi"/>
          <w:sz w:val="24"/>
          <w:szCs w:val="24"/>
        </w:rPr>
        <w:t>3</w:t>
      </w:r>
      <w:r w:rsidRPr="00FE6CB4">
        <w:rPr>
          <w:rFonts w:asciiTheme="majorHAnsi" w:eastAsia="Times New Roman" w:hAnsiTheme="majorHAnsi"/>
          <w:sz w:val="24"/>
          <w:szCs w:val="24"/>
        </w:rPr>
        <w:t>9/</w:t>
      </w:r>
      <w:r w:rsidR="00A05A64" w:rsidRPr="00FE6CB4">
        <w:rPr>
          <w:rFonts w:asciiTheme="majorHAnsi" w:eastAsia="Times New Roman" w:hAnsiTheme="majorHAnsi"/>
          <w:sz w:val="24"/>
          <w:szCs w:val="24"/>
        </w:rPr>
        <w:t>20</w:t>
      </w:r>
      <w:r w:rsidRPr="00FE6CB4">
        <w:rPr>
          <w:rFonts w:asciiTheme="majorHAnsi" w:eastAsia="Times New Roman" w:hAnsiTheme="majorHAnsi"/>
          <w:sz w:val="24"/>
          <w:szCs w:val="24"/>
        </w:rPr>
        <w:t>).</w:t>
      </w:r>
    </w:p>
    <w:p w:rsidR="00A05A64" w:rsidRPr="00FE6CB4" w:rsidRDefault="00A05A64" w:rsidP="00FE6CB4">
      <w:pPr>
        <w:ind w:firstLine="720"/>
        <w:jc w:val="both"/>
        <w:rPr>
          <w:rFonts w:asciiTheme="majorHAnsi" w:eastAsia="Times New Roman" w:hAnsiTheme="majorHAnsi"/>
          <w:sz w:val="24"/>
          <w:szCs w:val="24"/>
        </w:rPr>
      </w:pPr>
    </w:p>
    <w:p w:rsidR="006866B2" w:rsidRPr="00FE6CB4" w:rsidRDefault="006866B2" w:rsidP="00FE6CB4">
      <w:pPr>
        <w:pStyle w:val="T30X"/>
        <w:spacing w:before="0" w:after="0"/>
        <w:ind w:firstLine="0"/>
        <w:jc w:val="center"/>
        <w:rPr>
          <w:rFonts w:asciiTheme="majorHAnsi" w:hAnsiTheme="majorHAnsi" w:cs="Tahoma"/>
          <w:b/>
          <w:sz w:val="24"/>
          <w:szCs w:val="24"/>
        </w:rPr>
      </w:pPr>
      <w:r w:rsidRPr="00FE6CB4">
        <w:rPr>
          <w:rFonts w:asciiTheme="majorHAnsi" w:hAnsiTheme="majorHAnsi" w:cs="Tahoma"/>
          <w:b/>
          <w:sz w:val="24"/>
          <w:szCs w:val="24"/>
        </w:rPr>
        <w:t xml:space="preserve">Član </w:t>
      </w:r>
      <w:r w:rsidR="0001679E" w:rsidRPr="00FE6CB4">
        <w:rPr>
          <w:rFonts w:asciiTheme="majorHAnsi" w:hAnsiTheme="majorHAnsi" w:cs="Tahoma"/>
          <w:b/>
          <w:sz w:val="24"/>
          <w:szCs w:val="24"/>
        </w:rPr>
        <w:t>19</w:t>
      </w:r>
    </w:p>
    <w:p w:rsidR="00A14F25" w:rsidRPr="00FE6CB4" w:rsidRDefault="00A14F25" w:rsidP="00FE6CB4">
      <w:pPr>
        <w:pStyle w:val="T30X"/>
        <w:spacing w:before="0" w:after="0"/>
        <w:ind w:firstLine="720"/>
        <w:rPr>
          <w:rFonts w:asciiTheme="majorHAnsi" w:hAnsiTheme="majorHAnsi" w:cs="Tahoma"/>
          <w:sz w:val="24"/>
          <w:szCs w:val="24"/>
        </w:rPr>
      </w:pPr>
      <w:r w:rsidRPr="00FE6CB4">
        <w:rPr>
          <w:rFonts w:asciiTheme="majorHAnsi" w:hAnsiTheme="majorHAnsi" w:cs="Tahoma"/>
          <w:sz w:val="24"/>
          <w:szCs w:val="24"/>
        </w:rPr>
        <w:t xml:space="preserve">Ova odluka stupa </w:t>
      </w:r>
      <w:proofErr w:type="gramStart"/>
      <w:r w:rsidRPr="00FE6CB4">
        <w:rPr>
          <w:rFonts w:asciiTheme="majorHAnsi" w:hAnsiTheme="majorHAnsi" w:cs="Tahoma"/>
          <w:sz w:val="24"/>
          <w:szCs w:val="24"/>
        </w:rPr>
        <w:t>na</w:t>
      </w:r>
      <w:proofErr w:type="gramEnd"/>
      <w:r w:rsidRPr="00FE6CB4">
        <w:rPr>
          <w:rFonts w:asciiTheme="majorHAnsi" w:hAnsiTheme="majorHAnsi" w:cs="Tahoma"/>
          <w:sz w:val="24"/>
          <w:szCs w:val="24"/>
        </w:rPr>
        <w:t xml:space="preserve"> snagu osmog dana od dana objavljivanja u "Službenom listu C</w:t>
      </w:r>
      <w:r w:rsidR="003E7AD0" w:rsidRPr="00FE6CB4">
        <w:rPr>
          <w:rFonts w:asciiTheme="majorHAnsi" w:hAnsiTheme="majorHAnsi" w:cs="Tahoma"/>
          <w:sz w:val="24"/>
          <w:szCs w:val="24"/>
        </w:rPr>
        <w:t xml:space="preserve">rne </w:t>
      </w:r>
      <w:r w:rsidRPr="00FE6CB4">
        <w:rPr>
          <w:rFonts w:asciiTheme="majorHAnsi" w:hAnsiTheme="majorHAnsi" w:cs="Tahoma"/>
          <w:sz w:val="24"/>
          <w:szCs w:val="24"/>
        </w:rPr>
        <w:t>G</w:t>
      </w:r>
      <w:r w:rsidR="003E7AD0" w:rsidRPr="00FE6CB4">
        <w:rPr>
          <w:rFonts w:asciiTheme="majorHAnsi" w:hAnsiTheme="majorHAnsi" w:cs="Tahoma"/>
          <w:sz w:val="24"/>
          <w:szCs w:val="24"/>
        </w:rPr>
        <w:t>ore</w:t>
      </w:r>
      <w:r w:rsidRPr="00FE6CB4">
        <w:rPr>
          <w:rFonts w:asciiTheme="majorHAnsi" w:hAnsiTheme="majorHAnsi" w:cs="Tahoma"/>
          <w:sz w:val="24"/>
          <w:szCs w:val="24"/>
        </w:rPr>
        <w:t xml:space="preserve"> - </w:t>
      </w:r>
      <w:r w:rsidR="006866B2" w:rsidRPr="00FE6CB4">
        <w:rPr>
          <w:rFonts w:asciiTheme="majorHAnsi" w:hAnsiTheme="majorHAnsi" w:cs="Tahoma"/>
          <w:sz w:val="24"/>
          <w:szCs w:val="24"/>
        </w:rPr>
        <w:t>o</w:t>
      </w:r>
      <w:r w:rsidRPr="00FE6CB4">
        <w:rPr>
          <w:rFonts w:asciiTheme="majorHAnsi" w:hAnsiTheme="majorHAnsi" w:cs="Tahoma"/>
          <w:sz w:val="24"/>
          <w:szCs w:val="24"/>
        </w:rPr>
        <w:t>pštinski propisi".</w:t>
      </w:r>
    </w:p>
    <w:p w:rsidR="00A14F25" w:rsidRPr="00FE6CB4" w:rsidRDefault="00A14F25" w:rsidP="00FE6CB4">
      <w:pPr>
        <w:widowControl w:val="0"/>
        <w:jc w:val="both"/>
        <w:rPr>
          <w:rStyle w:val="DefaultParagraphFont0"/>
          <w:rFonts w:asciiTheme="majorHAnsi" w:hAnsiTheme="majorHAnsi" w:cs="Tahoma"/>
          <w:sz w:val="24"/>
          <w:szCs w:val="24"/>
        </w:rPr>
      </w:pPr>
    </w:p>
    <w:p w:rsidR="00742AD4" w:rsidRPr="00FE6CB4" w:rsidRDefault="00742AD4" w:rsidP="00FE6CB4">
      <w:pPr>
        <w:autoSpaceDE/>
        <w:autoSpaceDN/>
        <w:adjustRightInd/>
        <w:jc w:val="both"/>
        <w:rPr>
          <w:rFonts w:asciiTheme="majorHAnsi" w:eastAsia="Times New Roman" w:hAnsiTheme="majorHAnsi" w:cs="Tahoma"/>
          <w:color w:val="auto"/>
          <w:sz w:val="24"/>
          <w:szCs w:val="24"/>
          <w:lang w:val="sr-Latn-CS" w:eastAsia="sr-Latn-CS"/>
        </w:rPr>
      </w:pPr>
      <w:r w:rsidRPr="00FE6CB4">
        <w:rPr>
          <w:rFonts w:asciiTheme="majorHAnsi" w:eastAsia="Times New Roman" w:hAnsiTheme="majorHAnsi" w:cs="Tahoma"/>
          <w:color w:val="auto"/>
          <w:sz w:val="24"/>
          <w:szCs w:val="24"/>
          <w:lang w:val="sr-Latn-CS" w:eastAsia="sr-Latn-CS"/>
        </w:rPr>
        <w:t>Broj</w:t>
      </w:r>
      <w:r w:rsidR="003E7AD0" w:rsidRPr="00FE6CB4">
        <w:rPr>
          <w:rFonts w:asciiTheme="majorHAnsi" w:eastAsia="Times New Roman" w:hAnsiTheme="majorHAnsi" w:cs="Tahoma"/>
          <w:color w:val="auto"/>
          <w:sz w:val="24"/>
          <w:szCs w:val="24"/>
          <w:lang w:val="sr-Latn-CS" w:eastAsia="sr-Latn-CS"/>
        </w:rPr>
        <w:t xml:space="preserve">: </w:t>
      </w:r>
      <w:r w:rsidR="00426A3E" w:rsidRPr="00FE6CB4">
        <w:rPr>
          <w:rFonts w:asciiTheme="majorHAnsi" w:eastAsia="Times New Roman" w:hAnsiTheme="majorHAnsi" w:cs="Tahoma"/>
          <w:color w:val="auto"/>
          <w:sz w:val="24"/>
          <w:szCs w:val="24"/>
          <w:lang w:val="sr-Latn-CS" w:eastAsia="sr-Latn-CS"/>
        </w:rPr>
        <w:t>02-016/20-</w:t>
      </w:r>
    </w:p>
    <w:p w:rsidR="00742AD4" w:rsidRPr="00FE6CB4" w:rsidRDefault="00742AD4" w:rsidP="00FE6CB4">
      <w:pPr>
        <w:autoSpaceDE/>
        <w:autoSpaceDN/>
        <w:adjustRightInd/>
        <w:jc w:val="both"/>
        <w:rPr>
          <w:rFonts w:asciiTheme="majorHAnsi" w:eastAsia="Times New Roman" w:hAnsiTheme="majorHAnsi" w:cs="Tahoma"/>
          <w:color w:val="auto"/>
          <w:sz w:val="24"/>
          <w:szCs w:val="24"/>
          <w:lang w:val="sr-Latn-CS" w:eastAsia="sr-Latn-CS"/>
        </w:rPr>
      </w:pPr>
      <w:r w:rsidRPr="00FE6CB4">
        <w:rPr>
          <w:rFonts w:asciiTheme="majorHAnsi" w:eastAsia="Times New Roman" w:hAnsiTheme="majorHAnsi" w:cs="Tahoma"/>
          <w:color w:val="auto"/>
          <w:sz w:val="24"/>
          <w:szCs w:val="24"/>
          <w:lang w:val="sr-Latn-CS" w:eastAsia="sr-Latn-CS"/>
        </w:rPr>
        <w:t xml:space="preserve">Podgorica, </w:t>
      </w:r>
      <w:r w:rsidR="006866B2" w:rsidRPr="00FE6CB4">
        <w:rPr>
          <w:rFonts w:asciiTheme="majorHAnsi" w:eastAsia="Times New Roman" w:hAnsiTheme="majorHAnsi" w:cs="Tahoma"/>
          <w:color w:val="auto"/>
          <w:sz w:val="24"/>
          <w:szCs w:val="24"/>
          <w:lang w:val="sr-Latn-CS" w:eastAsia="sr-Latn-CS"/>
        </w:rPr>
        <w:t xml:space="preserve">                 </w:t>
      </w:r>
      <w:r w:rsidRPr="00FE6CB4">
        <w:rPr>
          <w:rFonts w:asciiTheme="majorHAnsi" w:eastAsia="Times New Roman" w:hAnsiTheme="majorHAnsi" w:cs="Tahoma"/>
          <w:color w:val="auto"/>
          <w:sz w:val="24"/>
          <w:szCs w:val="24"/>
          <w:lang w:val="sr-Latn-CS" w:eastAsia="sr-Latn-CS"/>
        </w:rPr>
        <w:t>20</w:t>
      </w:r>
      <w:r w:rsidR="006866B2" w:rsidRPr="00FE6CB4">
        <w:rPr>
          <w:rFonts w:asciiTheme="majorHAnsi" w:eastAsia="Times New Roman" w:hAnsiTheme="majorHAnsi" w:cs="Tahoma"/>
          <w:color w:val="auto"/>
          <w:sz w:val="24"/>
          <w:szCs w:val="24"/>
          <w:lang w:val="sr-Latn-CS" w:eastAsia="sr-Latn-CS"/>
        </w:rPr>
        <w:t>2</w:t>
      </w:r>
      <w:r w:rsidR="00A05A64" w:rsidRPr="00FE6CB4">
        <w:rPr>
          <w:rFonts w:asciiTheme="majorHAnsi" w:eastAsia="Times New Roman" w:hAnsiTheme="majorHAnsi" w:cs="Tahoma"/>
          <w:color w:val="auto"/>
          <w:sz w:val="24"/>
          <w:szCs w:val="24"/>
          <w:lang w:val="sr-Latn-CS" w:eastAsia="sr-Latn-CS"/>
        </w:rPr>
        <w:t>6</w:t>
      </w:r>
      <w:r w:rsidRPr="00FE6CB4">
        <w:rPr>
          <w:rFonts w:asciiTheme="majorHAnsi" w:eastAsia="Times New Roman" w:hAnsiTheme="majorHAnsi" w:cs="Tahoma"/>
          <w:color w:val="auto"/>
          <w:sz w:val="24"/>
          <w:szCs w:val="24"/>
          <w:lang w:val="sr-Latn-CS" w:eastAsia="sr-Latn-CS"/>
        </w:rPr>
        <w:t>. godine</w:t>
      </w:r>
    </w:p>
    <w:p w:rsidR="00742AD4" w:rsidRPr="00FE6CB4" w:rsidRDefault="00742AD4" w:rsidP="00FE6CB4">
      <w:pPr>
        <w:autoSpaceDE/>
        <w:autoSpaceDN/>
        <w:adjustRightInd/>
        <w:jc w:val="both"/>
        <w:rPr>
          <w:rFonts w:asciiTheme="majorHAnsi" w:eastAsia="Times New Roman" w:hAnsiTheme="majorHAnsi" w:cs="Tahoma"/>
          <w:b/>
          <w:color w:val="auto"/>
          <w:sz w:val="24"/>
          <w:szCs w:val="24"/>
          <w:lang w:val="sr-Latn-CS" w:eastAsia="sr-Latn-CS"/>
        </w:rPr>
      </w:pPr>
    </w:p>
    <w:p w:rsidR="00742AD4" w:rsidRPr="00FE6CB4" w:rsidRDefault="00742AD4" w:rsidP="00FE6CB4">
      <w:pPr>
        <w:autoSpaceDE/>
        <w:autoSpaceDN/>
        <w:adjustRightInd/>
        <w:jc w:val="center"/>
        <w:rPr>
          <w:rFonts w:asciiTheme="majorHAnsi" w:eastAsia="Times New Roman" w:hAnsiTheme="majorHAnsi" w:cs="Tahoma"/>
          <w:b/>
          <w:color w:val="auto"/>
          <w:sz w:val="24"/>
          <w:szCs w:val="24"/>
          <w:lang w:val="sr-Latn-CS" w:eastAsia="sr-Latn-CS"/>
        </w:rPr>
      </w:pPr>
      <w:r w:rsidRPr="00FE6CB4">
        <w:rPr>
          <w:rFonts w:asciiTheme="majorHAnsi" w:eastAsia="Times New Roman" w:hAnsiTheme="majorHAnsi" w:cs="Tahoma"/>
          <w:b/>
          <w:color w:val="auto"/>
          <w:sz w:val="24"/>
          <w:szCs w:val="24"/>
          <w:lang w:val="sr-Latn-CS" w:eastAsia="sr-Latn-CS"/>
        </w:rPr>
        <w:t xml:space="preserve">SKUPŠTINA GLAVNOG GRADA </w:t>
      </w:r>
      <w:r w:rsidR="003E7AD0" w:rsidRPr="00FE6CB4">
        <w:rPr>
          <w:rFonts w:asciiTheme="majorHAnsi" w:eastAsia="Times New Roman" w:hAnsiTheme="majorHAnsi" w:cs="Tahoma"/>
          <w:b/>
          <w:color w:val="auto"/>
          <w:sz w:val="24"/>
          <w:szCs w:val="24"/>
          <w:lang w:val="sr-Latn-CS" w:eastAsia="sr-Latn-CS"/>
        </w:rPr>
        <w:t xml:space="preserve">- </w:t>
      </w:r>
      <w:r w:rsidRPr="00FE6CB4">
        <w:rPr>
          <w:rFonts w:asciiTheme="majorHAnsi" w:eastAsia="Times New Roman" w:hAnsiTheme="majorHAnsi" w:cs="Tahoma"/>
          <w:b/>
          <w:color w:val="auto"/>
          <w:sz w:val="24"/>
          <w:szCs w:val="24"/>
          <w:lang w:val="sr-Latn-CS" w:eastAsia="sr-Latn-CS"/>
        </w:rPr>
        <w:t>PODGORICE</w:t>
      </w:r>
    </w:p>
    <w:p w:rsidR="00742AD4" w:rsidRPr="00FE6CB4" w:rsidRDefault="00742AD4" w:rsidP="00FE6CB4">
      <w:pPr>
        <w:autoSpaceDE/>
        <w:autoSpaceDN/>
        <w:adjustRightInd/>
        <w:ind w:left="3828" w:hanging="3686"/>
        <w:jc w:val="center"/>
        <w:rPr>
          <w:rFonts w:asciiTheme="majorHAnsi" w:eastAsia="Times New Roman" w:hAnsiTheme="majorHAnsi" w:cs="Tahoma"/>
          <w:b/>
          <w:color w:val="auto"/>
          <w:sz w:val="24"/>
          <w:szCs w:val="24"/>
          <w:lang w:val="sr-Latn-CS" w:eastAsia="sr-Latn-CS"/>
        </w:rPr>
      </w:pPr>
      <w:r w:rsidRPr="00FE6CB4">
        <w:rPr>
          <w:rFonts w:asciiTheme="majorHAnsi" w:eastAsia="Times New Roman" w:hAnsiTheme="majorHAnsi" w:cs="Tahoma"/>
          <w:b/>
          <w:color w:val="auto"/>
          <w:sz w:val="24"/>
          <w:szCs w:val="24"/>
          <w:lang w:val="sr-Latn-CS" w:eastAsia="sr-Latn-CS"/>
        </w:rPr>
        <w:t>PREDSJEDNI</w:t>
      </w:r>
      <w:r w:rsidR="00A05A64" w:rsidRPr="00FE6CB4">
        <w:rPr>
          <w:rFonts w:asciiTheme="majorHAnsi" w:eastAsia="Times New Roman" w:hAnsiTheme="majorHAnsi" w:cs="Tahoma"/>
          <w:b/>
          <w:color w:val="auto"/>
          <w:sz w:val="24"/>
          <w:szCs w:val="24"/>
          <w:lang w:val="sr-Latn-CS" w:eastAsia="sr-Latn-CS"/>
        </w:rPr>
        <w:t>CA</w:t>
      </w:r>
      <w:r w:rsidRPr="00FE6CB4">
        <w:rPr>
          <w:rFonts w:asciiTheme="majorHAnsi" w:eastAsia="Times New Roman" w:hAnsiTheme="majorHAnsi" w:cs="Tahoma"/>
          <w:b/>
          <w:color w:val="auto"/>
          <w:sz w:val="24"/>
          <w:szCs w:val="24"/>
          <w:lang w:val="sr-Latn-CS" w:eastAsia="sr-Latn-CS"/>
        </w:rPr>
        <w:t xml:space="preserve"> SKUPŠTINE,</w:t>
      </w:r>
    </w:p>
    <w:p w:rsidR="00742AD4" w:rsidRPr="00FE6CB4" w:rsidRDefault="00742AD4" w:rsidP="00FE6CB4">
      <w:pPr>
        <w:autoSpaceDE/>
        <w:autoSpaceDN/>
        <w:adjustRightInd/>
        <w:ind w:left="4248" w:hanging="4390"/>
        <w:jc w:val="center"/>
        <w:rPr>
          <w:rFonts w:asciiTheme="majorHAnsi" w:eastAsia="Times New Roman" w:hAnsiTheme="majorHAnsi" w:cs="Tahoma"/>
          <w:b/>
          <w:color w:val="auto"/>
          <w:sz w:val="24"/>
          <w:szCs w:val="24"/>
          <w:lang w:val="sr-Latn-CS" w:eastAsia="sr-Latn-CS"/>
        </w:rPr>
      </w:pPr>
      <w:r w:rsidRPr="00FE6CB4">
        <w:rPr>
          <w:rFonts w:asciiTheme="majorHAnsi" w:eastAsia="Times New Roman" w:hAnsiTheme="majorHAnsi" w:cs="Tahoma"/>
          <w:b/>
          <w:color w:val="auto"/>
          <w:sz w:val="24"/>
          <w:szCs w:val="24"/>
          <w:lang w:val="sr-Latn-CS" w:eastAsia="sr-Latn-CS"/>
        </w:rPr>
        <w:t xml:space="preserve">dr </w:t>
      </w:r>
      <w:r w:rsidR="00A05A64" w:rsidRPr="00FE6CB4">
        <w:rPr>
          <w:rFonts w:asciiTheme="majorHAnsi" w:eastAsia="Times New Roman" w:hAnsiTheme="majorHAnsi" w:cs="Tahoma"/>
          <w:b/>
          <w:color w:val="auto"/>
          <w:sz w:val="24"/>
          <w:szCs w:val="24"/>
          <w:lang w:val="sr-Latn-CS" w:eastAsia="sr-Latn-CS"/>
        </w:rPr>
        <w:t>Jelena Borovinić Bojović</w:t>
      </w:r>
    </w:p>
    <w:p w:rsidR="0001679E" w:rsidRDefault="0001679E" w:rsidP="0001679E">
      <w:pPr>
        <w:autoSpaceDE/>
        <w:autoSpaceDN/>
        <w:adjustRightInd/>
        <w:ind w:left="4248" w:hanging="4390"/>
        <w:rPr>
          <w:rFonts w:asciiTheme="majorHAnsi" w:eastAsia="Times New Roman" w:hAnsiTheme="majorHAnsi" w:cs="Tahoma"/>
          <w:b/>
          <w:color w:val="auto"/>
          <w:sz w:val="24"/>
          <w:szCs w:val="24"/>
          <w:lang w:val="sr-Latn-CS" w:eastAsia="sr-Latn-CS"/>
        </w:rPr>
      </w:pPr>
    </w:p>
    <w:p w:rsidR="003C33B7" w:rsidRDefault="003C33B7" w:rsidP="00F5014C">
      <w:pPr>
        <w:autoSpaceDE/>
        <w:autoSpaceDN/>
        <w:adjustRightInd/>
        <w:ind w:left="4248" w:hanging="4390"/>
        <w:jc w:val="center"/>
        <w:rPr>
          <w:rFonts w:asciiTheme="majorHAnsi" w:eastAsia="Times New Roman" w:hAnsiTheme="majorHAnsi" w:cs="Tahoma"/>
          <w:b/>
          <w:color w:val="auto"/>
          <w:sz w:val="24"/>
          <w:szCs w:val="24"/>
          <w:lang w:val="sr-Latn-CS" w:eastAsia="sr-Latn-CS"/>
        </w:rPr>
      </w:pPr>
    </w:p>
    <w:p w:rsidR="00B071B9" w:rsidRDefault="00B071B9" w:rsidP="00F5014C">
      <w:pPr>
        <w:autoSpaceDE/>
        <w:autoSpaceDN/>
        <w:adjustRightInd/>
        <w:ind w:left="4248" w:hanging="4390"/>
        <w:jc w:val="center"/>
        <w:rPr>
          <w:rFonts w:asciiTheme="majorHAnsi" w:eastAsia="Times New Roman" w:hAnsiTheme="majorHAnsi" w:cs="Tahoma"/>
          <w:b/>
          <w:color w:val="auto"/>
          <w:sz w:val="24"/>
          <w:szCs w:val="24"/>
          <w:lang w:val="sr-Latn-CS" w:eastAsia="sr-Latn-CS"/>
        </w:rPr>
      </w:pPr>
    </w:p>
    <w:p w:rsidR="00B071B9" w:rsidRDefault="00B071B9" w:rsidP="00F5014C">
      <w:pPr>
        <w:autoSpaceDE/>
        <w:autoSpaceDN/>
        <w:adjustRightInd/>
        <w:ind w:left="4248" w:hanging="4390"/>
        <w:jc w:val="center"/>
        <w:rPr>
          <w:rFonts w:asciiTheme="majorHAnsi" w:eastAsia="Times New Roman" w:hAnsiTheme="majorHAnsi" w:cs="Tahoma"/>
          <w:b/>
          <w:color w:val="auto"/>
          <w:sz w:val="24"/>
          <w:szCs w:val="24"/>
          <w:lang w:val="sr-Latn-CS" w:eastAsia="sr-Latn-CS"/>
        </w:rPr>
      </w:pPr>
    </w:p>
    <w:p w:rsidR="00B071B9" w:rsidRDefault="00B071B9" w:rsidP="00F5014C">
      <w:pPr>
        <w:autoSpaceDE/>
        <w:autoSpaceDN/>
        <w:adjustRightInd/>
        <w:ind w:left="4248" w:hanging="4390"/>
        <w:jc w:val="center"/>
        <w:rPr>
          <w:rFonts w:asciiTheme="majorHAnsi" w:eastAsia="Times New Roman" w:hAnsiTheme="majorHAnsi" w:cs="Tahoma"/>
          <w:b/>
          <w:color w:val="auto"/>
          <w:sz w:val="24"/>
          <w:szCs w:val="24"/>
          <w:lang w:val="sr-Latn-CS" w:eastAsia="sr-Latn-CS"/>
        </w:rPr>
      </w:pPr>
    </w:p>
    <w:p w:rsidR="00B071B9" w:rsidRDefault="00B071B9" w:rsidP="00F5014C">
      <w:pPr>
        <w:autoSpaceDE/>
        <w:autoSpaceDN/>
        <w:adjustRightInd/>
        <w:ind w:left="4248" w:hanging="4390"/>
        <w:jc w:val="center"/>
        <w:rPr>
          <w:rFonts w:asciiTheme="majorHAnsi" w:eastAsia="Times New Roman" w:hAnsiTheme="majorHAnsi" w:cs="Tahoma"/>
          <w:b/>
          <w:color w:val="auto"/>
          <w:sz w:val="24"/>
          <w:szCs w:val="24"/>
          <w:lang w:val="sr-Latn-CS" w:eastAsia="sr-Latn-CS"/>
        </w:rPr>
      </w:pPr>
    </w:p>
    <w:p w:rsidR="00B071B9" w:rsidRDefault="00B071B9" w:rsidP="00F5014C">
      <w:pPr>
        <w:autoSpaceDE/>
        <w:autoSpaceDN/>
        <w:adjustRightInd/>
        <w:ind w:left="4248" w:hanging="4390"/>
        <w:jc w:val="center"/>
        <w:rPr>
          <w:rFonts w:asciiTheme="majorHAnsi" w:eastAsia="Times New Roman" w:hAnsiTheme="majorHAnsi" w:cs="Tahoma"/>
          <w:b/>
          <w:color w:val="auto"/>
          <w:sz w:val="24"/>
          <w:szCs w:val="24"/>
          <w:lang w:val="sr-Latn-CS" w:eastAsia="sr-Latn-CS"/>
        </w:rPr>
      </w:pPr>
    </w:p>
    <w:p w:rsidR="00B071B9" w:rsidRDefault="00B071B9" w:rsidP="00F5014C">
      <w:pPr>
        <w:autoSpaceDE/>
        <w:autoSpaceDN/>
        <w:adjustRightInd/>
        <w:ind w:left="4248" w:hanging="4390"/>
        <w:jc w:val="center"/>
        <w:rPr>
          <w:rFonts w:asciiTheme="majorHAnsi" w:eastAsia="Times New Roman" w:hAnsiTheme="majorHAnsi" w:cs="Tahoma"/>
          <w:b/>
          <w:color w:val="auto"/>
          <w:sz w:val="24"/>
          <w:szCs w:val="24"/>
          <w:lang w:val="sr-Latn-CS" w:eastAsia="sr-Latn-CS"/>
        </w:rPr>
      </w:pPr>
    </w:p>
    <w:p w:rsidR="00B071B9" w:rsidRDefault="00B071B9" w:rsidP="00F5014C">
      <w:pPr>
        <w:autoSpaceDE/>
        <w:autoSpaceDN/>
        <w:adjustRightInd/>
        <w:ind w:left="4248" w:hanging="4390"/>
        <w:jc w:val="center"/>
        <w:rPr>
          <w:rFonts w:asciiTheme="majorHAnsi" w:eastAsia="Times New Roman" w:hAnsiTheme="majorHAnsi" w:cs="Tahoma"/>
          <w:b/>
          <w:color w:val="auto"/>
          <w:sz w:val="24"/>
          <w:szCs w:val="24"/>
          <w:lang w:val="sr-Latn-CS" w:eastAsia="sr-Latn-CS"/>
        </w:rPr>
      </w:pPr>
    </w:p>
    <w:p w:rsidR="00B071B9" w:rsidRDefault="00B071B9" w:rsidP="00F5014C">
      <w:pPr>
        <w:autoSpaceDE/>
        <w:autoSpaceDN/>
        <w:adjustRightInd/>
        <w:ind w:left="4248" w:hanging="4390"/>
        <w:jc w:val="center"/>
        <w:rPr>
          <w:rFonts w:asciiTheme="majorHAnsi" w:eastAsia="Times New Roman" w:hAnsiTheme="majorHAnsi" w:cs="Tahoma"/>
          <w:b/>
          <w:color w:val="auto"/>
          <w:sz w:val="24"/>
          <w:szCs w:val="24"/>
          <w:lang w:val="sr-Latn-CS" w:eastAsia="sr-Latn-CS"/>
        </w:rPr>
      </w:pPr>
    </w:p>
    <w:p w:rsidR="00B071B9" w:rsidRPr="00B071B9" w:rsidRDefault="00B071B9" w:rsidP="00B071B9">
      <w:pPr>
        <w:autoSpaceDE/>
        <w:autoSpaceDN/>
        <w:adjustRightInd/>
        <w:ind w:left="4248" w:hanging="4390"/>
        <w:jc w:val="center"/>
        <w:rPr>
          <w:rFonts w:asciiTheme="majorHAnsi" w:eastAsia="Times New Roman" w:hAnsiTheme="majorHAnsi" w:cs="Tahoma"/>
          <w:b/>
          <w:color w:val="auto"/>
          <w:sz w:val="24"/>
          <w:szCs w:val="24"/>
          <w:lang w:val="sr-Latn-CS" w:eastAsia="sr-Latn-CS"/>
        </w:rPr>
      </w:pPr>
    </w:p>
    <w:p w:rsidR="008D1984" w:rsidRPr="00B071B9" w:rsidRDefault="008D1984" w:rsidP="00B071B9">
      <w:pPr>
        <w:widowControl w:val="0"/>
        <w:jc w:val="center"/>
        <w:rPr>
          <w:rFonts w:asciiTheme="majorHAnsi" w:hAnsiTheme="majorHAnsi" w:cs="Tahoma"/>
          <w:b/>
          <w:sz w:val="24"/>
          <w:szCs w:val="24"/>
        </w:rPr>
      </w:pPr>
      <w:r w:rsidRPr="00B071B9">
        <w:rPr>
          <w:rFonts w:asciiTheme="majorHAnsi" w:hAnsiTheme="majorHAnsi" w:cs="Tahoma"/>
          <w:b/>
          <w:sz w:val="24"/>
          <w:szCs w:val="24"/>
        </w:rPr>
        <w:t>OBRAZLOŽENJE</w:t>
      </w:r>
    </w:p>
    <w:p w:rsidR="008D1984" w:rsidRPr="00B071B9" w:rsidRDefault="008D1984" w:rsidP="00B071B9">
      <w:pPr>
        <w:widowControl w:val="0"/>
        <w:jc w:val="center"/>
        <w:rPr>
          <w:rFonts w:asciiTheme="majorHAnsi" w:hAnsiTheme="majorHAnsi" w:cs="Tahoma"/>
          <w:b/>
          <w:sz w:val="24"/>
          <w:szCs w:val="24"/>
        </w:rPr>
      </w:pPr>
    </w:p>
    <w:p w:rsidR="008D1984" w:rsidRPr="00B071B9" w:rsidRDefault="008D1984" w:rsidP="00B071B9">
      <w:pPr>
        <w:widowControl w:val="0"/>
        <w:jc w:val="both"/>
        <w:rPr>
          <w:rFonts w:asciiTheme="majorHAnsi" w:hAnsiTheme="majorHAnsi" w:cs="Tahoma"/>
          <w:sz w:val="24"/>
          <w:szCs w:val="24"/>
        </w:rPr>
      </w:pPr>
      <w:r w:rsidRPr="00B071B9">
        <w:rPr>
          <w:rFonts w:asciiTheme="majorHAnsi" w:hAnsiTheme="majorHAnsi" w:cs="Tahoma"/>
          <w:b/>
          <w:sz w:val="24"/>
          <w:szCs w:val="24"/>
        </w:rPr>
        <w:t>I</w:t>
      </w:r>
      <w:r w:rsidRPr="00B071B9">
        <w:rPr>
          <w:rFonts w:asciiTheme="majorHAnsi" w:hAnsiTheme="majorHAnsi" w:cs="Tahoma"/>
          <w:b/>
          <w:sz w:val="24"/>
          <w:szCs w:val="24"/>
        </w:rPr>
        <w:tab/>
        <w:t>PRAVNI OSNOV</w:t>
      </w:r>
    </w:p>
    <w:p w:rsidR="008D1984" w:rsidRPr="00B071B9" w:rsidRDefault="008D1984" w:rsidP="00B071B9">
      <w:pPr>
        <w:widowControl w:val="0"/>
        <w:jc w:val="both"/>
        <w:rPr>
          <w:rFonts w:asciiTheme="majorHAnsi" w:hAnsiTheme="majorHAnsi" w:cs="Tahoma"/>
          <w:sz w:val="24"/>
          <w:szCs w:val="24"/>
        </w:rPr>
      </w:pPr>
    </w:p>
    <w:p w:rsidR="008D1984" w:rsidRPr="00B071B9" w:rsidRDefault="008D1984" w:rsidP="00B071B9">
      <w:pPr>
        <w:widowControl w:val="0"/>
        <w:jc w:val="both"/>
        <w:rPr>
          <w:rFonts w:asciiTheme="majorHAnsi" w:hAnsiTheme="majorHAnsi" w:cs="Tahoma"/>
          <w:sz w:val="24"/>
          <w:szCs w:val="24"/>
        </w:rPr>
      </w:pPr>
      <w:r w:rsidRPr="00B071B9">
        <w:rPr>
          <w:rFonts w:asciiTheme="majorHAnsi" w:hAnsiTheme="majorHAnsi" w:cs="Tahoma"/>
          <w:sz w:val="24"/>
          <w:szCs w:val="24"/>
        </w:rPr>
        <w:t xml:space="preserve">Pravni osnov za donošenje ove Odluke sadržan je u odredbama Zаkоnа o legalizaciji bespravnih objekata ("Službeni list Crne Gore", br. 91/25), Zаkоnа о lоkаlnој sаmоuprаvi </w:t>
      </w:r>
      <w:r w:rsidRPr="00B071B9">
        <w:rPr>
          <w:rFonts w:asciiTheme="majorHAnsi" w:eastAsia="Times New Roman" w:hAnsiTheme="majorHAnsi"/>
          <w:color w:val="auto"/>
          <w:sz w:val="24"/>
          <w:szCs w:val="24"/>
        </w:rPr>
        <w:t>("Službeni list Crne Gore", br. 2/18, 34/19, 38/20, 50/22, 84/22, 81/25 i 98/25)</w:t>
      </w:r>
      <w:r w:rsidRPr="00B071B9">
        <w:rPr>
          <w:rFonts w:asciiTheme="majorHAnsi" w:eastAsia="Times New Roman" w:hAnsiTheme="majorHAnsi"/>
          <w:color w:val="auto"/>
          <w:sz w:val="24"/>
          <w:szCs w:val="24"/>
          <w:lang w:val="sr-Latn-CS"/>
        </w:rPr>
        <w:t xml:space="preserve"> i člаnа 54 stav 1 tačka 2 i 11 Stаtutа Glavnog grada („Službeni list Crne Gore – opštinski propisi“, br. 8/19, 20/21, 49/22 i 51/25)</w:t>
      </w:r>
      <w:r w:rsidRPr="00B071B9">
        <w:rPr>
          <w:rFonts w:asciiTheme="majorHAnsi" w:hAnsiTheme="majorHAnsi" w:cs="Tahoma"/>
          <w:sz w:val="24"/>
          <w:szCs w:val="24"/>
        </w:rPr>
        <w:t>.</w:t>
      </w:r>
    </w:p>
    <w:p w:rsidR="008D1984" w:rsidRPr="00B071B9" w:rsidRDefault="008D1984" w:rsidP="00B071B9">
      <w:pPr>
        <w:widowControl w:val="0"/>
        <w:tabs>
          <w:tab w:val="left" w:pos="5610"/>
        </w:tabs>
        <w:jc w:val="both"/>
        <w:rPr>
          <w:rFonts w:asciiTheme="majorHAnsi" w:hAnsiTheme="majorHAnsi" w:cs="Tahoma"/>
          <w:sz w:val="24"/>
          <w:szCs w:val="24"/>
        </w:rPr>
      </w:pPr>
      <w:r w:rsidRPr="00B071B9">
        <w:rPr>
          <w:rFonts w:asciiTheme="majorHAnsi" w:hAnsiTheme="majorHAnsi" w:cs="Tahoma"/>
          <w:sz w:val="24"/>
          <w:szCs w:val="24"/>
        </w:rPr>
        <w:tab/>
      </w:r>
    </w:p>
    <w:p w:rsidR="008D1984" w:rsidRPr="00B071B9" w:rsidRDefault="008D1984" w:rsidP="00B071B9">
      <w:pPr>
        <w:widowControl w:val="0"/>
        <w:jc w:val="both"/>
        <w:rPr>
          <w:rFonts w:asciiTheme="majorHAnsi" w:hAnsiTheme="majorHAnsi" w:cs="Tahoma"/>
          <w:sz w:val="24"/>
          <w:szCs w:val="24"/>
        </w:rPr>
      </w:pPr>
      <w:proofErr w:type="gramStart"/>
      <w:r w:rsidRPr="00B071B9">
        <w:rPr>
          <w:rFonts w:asciiTheme="majorHAnsi" w:hAnsiTheme="majorHAnsi" w:cs="Tahoma"/>
          <w:sz w:val="24"/>
          <w:szCs w:val="24"/>
        </w:rPr>
        <w:t>Članom 23 Zakona o legalizaciji bespravnih objekata propisano je da vlasnik bespravnog objekta plaća naknadu za urbanu sanaciju, koja se plaća za sve bespravne objekte.</w:t>
      </w:r>
      <w:proofErr w:type="gramEnd"/>
      <w:r w:rsidRPr="00B071B9">
        <w:rPr>
          <w:rFonts w:asciiTheme="majorHAnsi" w:hAnsiTheme="majorHAnsi" w:cs="Tahoma"/>
          <w:sz w:val="24"/>
          <w:szCs w:val="24"/>
        </w:rPr>
        <w:t xml:space="preserve"> Ovim članom je propisano da naknadu utvrđuje rješenjem nadležni organ lokalne uprave, da se visina naknade obračunava po m² neto površine objekta </w:t>
      </w:r>
      <w:proofErr w:type="gramStart"/>
      <w:r w:rsidRPr="00B071B9">
        <w:rPr>
          <w:rFonts w:asciiTheme="majorHAnsi" w:hAnsiTheme="majorHAnsi" w:cs="Tahoma"/>
          <w:sz w:val="24"/>
          <w:szCs w:val="24"/>
        </w:rPr>
        <w:t>na</w:t>
      </w:r>
      <w:proofErr w:type="gramEnd"/>
      <w:r w:rsidRPr="00B071B9">
        <w:rPr>
          <w:rFonts w:asciiTheme="majorHAnsi" w:hAnsiTheme="majorHAnsi" w:cs="Tahoma"/>
          <w:sz w:val="24"/>
          <w:szCs w:val="24"/>
        </w:rPr>
        <w:t xml:space="preserve"> osnovu elaborata premjera izvedenog stanja izgrađenog objekta ili dijela objekta, ovjerenog od strane licencirane geodetske organizacije i ovjerenog od strane Katastra. Naknada se plaća u jednakim mjesečnim ratama i to: za objekte osnovnog stanovanja - najviše u 360 mjesečnih rata, a za ostale objekte - najviše u 120 mjesečnih rata, navedenim u zahtjevu vlasnika bespravnog objekta. Visina naknade utvrđuje se u zavisnosti od ekonomsko tržišne projekcije planskog dokumenta za komunalno opremanje prostora, zone, stepena opremljenosti građevinskog zemljišta, prosječnih troškova opremanja građevinskog zemljišta, troškova sprovođenja mjera urbane sanacije prostora devastiranih bespravnom gradnjom, načina plaćanja utvrđenog iznosa naknade, vrste, namjene i starosti objekta. </w:t>
      </w:r>
      <w:proofErr w:type="gramStart"/>
      <w:r w:rsidRPr="00B071B9">
        <w:rPr>
          <w:rFonts w:asciiTheme="majorHAnsi" w:hAnsiTheme="majorHAnsi" w:cs="Tahoma"/>
          <w:sz w:val="24"/>
          <w:szCs w:val="24"/>
        </w:rPr>
        <w:t>Nadalje, utvrđeno je pravo jedinice lokalne samouprave da za definisane vrste bespravnih objekata u propisanom maksimalnom iznosu, mogu utvrditi svojim propisom umanjenja naknade.</w:t>
      </w:r>
      <w:proofErr w:type="gramEnd"/>
    </w:p>
    <w:p w:rsidR="008D1984" w:rsidRPr="00B071B9" w:rsidRDefault="008D1984" w:rsidP="00B071B9">
      <w:pPr>
        <w:widowControl w:val="0"/>
        <w:jc w:val="both"/>
        <w:rPr>
          <w:rFonts w:asciiTheme="majorHAnsi" w:hAnsiTheme="majorHAnsi" w:cs="Tahoma"/>
          <w:sz w:val="24"/>
          <w:szCs w:val="24"/>
        </w:rPr>
      </w:pPr>
    </w:p>
    <w:p w:rsidR="008D1984" w:rsidRPr="00B071B9" w:rsidRDefault="008D1984" w:rsidP="00B071B9">
      <w:pPr>
        <w:widowControl w:val="0"/>
        <w:jc w:val="both"/>
        <w:rPr>
          <w:rFonts w:asciiTheme="majorHAnsi" w:hAnsiTheme="majorHAnsi" w:cs="Tahoma"/>
          <w:sz w:val="24"/>
          <w:szCs w:val="24"/>
        </w:rPr>
      </w:pPr>
      <w:proofErr w:type="gramStart"/>
      <w:r w:rsidRPr="00B071B9">
        <w:rPr>
          <w:rFonts w:asciiTheme="majorHAnsi" w:hAnsiTheme="majorHAnsi" w:cs="Tahoma"/>
          <w:sz w:val="24"/>
          <w:szCs w:val="24"/>
        </w:rPr>
        <w:t xml:space="preserve">Stavom 13 ovog člana propisano je da </w:t>
      </w:r>
      <w:r w:rsidR="000F433F" w:rsidRPr="00B071B9">
        <w:rPr>
          <w:rFonts w:asciiTheme="majorHAnsi" w:hAnsiTheme="majorHAnsi" w:cs="Tahoma"/>
          <w:sz w:val="24"/>
          <w:szCs w:val="24"/>
        </w:rPr>
        <w:t>b</w:t>
      </w:r>
      <w:r w:rsidRPr="00B071B9">
        <w:rPr>
          <w:rFonts w:asciiTheme="majorHAnsi" w:hAnsiTheme="majorHAnsi" w:cs="Tahoma"/>
          <w:sz w:val="24"/>
          <w:szCs w:val="24"/>
        </w:rPr>
        <w:t>liže uslove, visinu, način i rokove plaćanja naknade za urbanu sanaciju, propisuje skupština jedinice lokalne samouprave, uz prethodnu saglasnost Vlade.</w:t>
      </w:r>
      <w:proofErr w:type="gramEnd"/>
    </w:p>
    <w:p w:rsidR="008D1984" w:rsidRPr="00B071B9" w:rsidRDefault="008D1984" w:rsidP="00B071B9">
      <w:pPr>
        <w:widowControl w:val="0"/>
        <w:jc w:val="both"/>
        <w:rPr>
          <w:rFonts w:asciiTheme="majorHAnsi" w:hAnsiTheme="majorHAnsi" w:cs="Tahoma"/>
          <w:sz w:val="24"/>
          <w:szCs w:val="24"/>
        </w:rPr>
      </w:pPr>
    </w:p>
    <w:p w:rsidR="008D1984" w:rsidRPr="00B071B9" w:rsidRDefault="008D1984" w:rsidP="00B071B9">
      <w:pPr>
        <w:widowControl w:val="0"/>
        <w:jc w:val="both"/>
        <w:rPr>
          <w:rFonts w:asciiTheme="majorHAnsi" w:hAnsiTheme="majorHAnsi" w:cs="Tahoma"/>
          <w:sz w:val="24"/>
          <w:szCs w:val="24"/>
        </w:rPr>
      </w:pPr>
      <w:r w:rsidRPr="00B071B9">
        <w:rPr>
          <w:rFonts w:asciiTheme="majorHAnsi" w:hAnsiTheme="majorHAnsi" w:cs="Tahoma"/>
          <w:sz w:val="24"/>
          <w:szCs w:val="24"/>
        </w:rPr>
        <w:t xml:space="preserve">U članu 28 Zakona o lokalnoj samoupravi propisano je da opština, u okviru sopstvenih nadležnosti, uređuje, uvodi i utvrđuje sopstvene prihode u skladu sa zakonom, dok je članom 38 </w:t>
      </w:r>
      <w:r w:rsidR="000F433F" w:rsidRPr="00B071B9">
        <w:rPr>
          <w:rFonts w:asciiTheme="majorHAnsi" w:hAnsiTheme="majorHAnsi" w:cs="Tahoma"/>
          <w:sz w:val="24"/>
          <w:szCs w:val="24"/>
        </w:rPr>
        <w:t xml:space="preserve">stav 1 </w:t>
      </w:r>
      <w:r w:rsidRPr="00B071B9">
        <w:rPr>
          <w:rFonts w:asciiTheme="majorHAnsi" w:hAnsiTheme="majorHAnsi" w:cs="Tahoma"/>
          <w:sz w:val="24"/>
          <w:szCs w:val="24"/>
        </w:rPr>
        <w:t>tač</w:t>
      </w:r>
      <w:r w:rsidR="000F433F" w:rsidRPr="00B071B9">
        <w:rPr>
          <w:rFonts w:asciiTheme="majorHAnsi" w:hAnsiTheme="majorHAnsi" w:cs="Tahoma"/>
          <w:sz w:val="24"/>
          <w:szCs w:val="24"/>
        </w:rPr>
        <w:t>ka</w:t>
      </w:r>
      <w:r w:rsidRPr="00B071B9">
        <w:rPr>
          <w:rFonts w:asciiTheme="majorHAnsi" w:hAnsiTheme="majorHAnsi" w:cs="Tahoma"/>
          <w:sz w:val="24"/>
          <w:szCs w:val="24"/>
        </w:rPr>
        <w:t xml:space="preserve"> 2 i 8 utvrđeno da skupština donosi propise i druge opšte akte i uvodi i utvrđuje opštinske poreze, takse, naknade i druge sopstvene prihode.</w:t>
      </w:r>
    </w:p>
    <w:p w:rsidR="008D1984" w:rsidRPr="00B071B9" w:rsidRDefault="000F433F" w:rsidP="00B071B9">
      <w:pPr>
        <w:widowControl w:val="0"/>
        <w:jc w:val="both"/>
        <w:rPr>
          <w:rFonts w:asciiTheme="majorHAnsi" w:hAnsiTheme="majorHAnsi" w:cs="Tahoma"/>
          <w:sz w:val="24"/>
          <w:szCs w:val="24"/>
        </w:rPr>
      </w:pPr>
      <w:r w:rsidRPr="00B071B9">
        <w:rPr>
          <w:rFonts w:asciiTheme="majorHAnsi" w:hAnsiTheme="majorHAnsi" w:cs="Tahoma"/>
          <w:sz w:val="24"/>
          <w:szCs w:val="24"/>
          <w:lang w:val="sr-Latn-CS"/>
        </w:rPr>
        <w:t xml:space="preserve">U članu </w:t>
      </w:r>
      <w:r w:rsidR="008D1984" w:rsidRPr="00B071B9">
        <w:rPr>
          <w:rFonts w:asciiTheme="majorHAnsi" w:hAnsiTheme="majorHAnsi" w:cs="Tahoma"/>
          <w:sz w:val="24"/>
          <w:szCs w:val="24"/>
          <w:lang w:val="sr-Latn-CS"/>
        </w:rPr>
        <w:t>54 stav 1 tačka 2 i 11 Stаtutа Glavnog grada</w:t>
      </w:r>
      <w:r w:rsidR="008D1984" w:rsidRPr="00B071B9">
        <w:rPr>
          <w:rFonts w:asciiTheme="majorHAnsi" w:hAnsiTheme="majorHAnsi" w:cs="Tahoma"/>
          <w:sz w:val="24"/>
          <w:szCs w:val="24"/>
        </w:rPr>
        <w:t xml:space="preserve"> je propisano da skupština donosi propise i druge opšte akte i uvodi i utvrđuje opštinske poreze, takse, naknade i druge sopstvene prihode.</w:t>
      </w:r>
    </w:p>
    <w:p w:rsidR="008D1984" w:rsidRPr="00B071B9" w:rsidRDefault="008D1984" w:rsidP="00B071B9">
      <w:pPr>
        <w:widowControl w:val="0"/>
        <w:jc w:val="both"/>
        <w:rPr>
          <w:rFonts w:asciiTheme="majorHAnsi" w:hAnsiTheme="majorHAnsi" w:cs="Tahoma"/>
          <w:sz w:val="24"/>
          <w:szCs w:val="24"/>
        </w:rPr>
      </w:pPr>
    </w:p>
    <w:p w:rsidR="008D1984" w:rsidRPr="00B071B9" w:rsidRDefault="008D1984" w:rsidP="00B071B9">
      <w:pPr>
        <w:widowControl w:val="0"/>
        <w:jc w:val="both"/>
        <w:rPr>
          <w:rFonts w:asciiTheme="majorHAnsi" w:hAnsiTheme="majorHAnsi" w:cs="Tahoma"/>
          <w:sz w:val="24"/>
          <w:szCs w:val="24"/>
        </w:rPr>
      </w:pPr>
      <w:r w:rsidRPr="00B071B9">
        <w:rPr>
          <w:rFonts w:asciiTheme="majorHAnsi" w:hAnsiTheme="majorHAnsi" w:cs="Tahoma"/>
          <w:sz w:val="24"/>
          <w:szCs w:val="24"/>
        </w:rPr>
        <w:t xml:space="preserve">Saglasno članu </w:t>
      </w:r>
      <w:r w:rsidR="000F433F" w:rsidRPr="00B071B9">
        <w:rPr>
          <w:rFonts w:asciiTheme="majorHAnsi" w:hAnsiTheme="majorHAnsi" w:cs="Tahoma"/>
          <w:sz w:val="24"/>
          <w:szCs w:val="24"/>
        </w:rPr>
        <w:t>23</w:t>
      </w:r>
      <w:r w:rsidRPr="00B071B9">
        <w:rPr>
          <w:rFonts w:asciiTheme="majorHAnsi" w:hAnsiTheme="majorHAnsi" w:cs="Tahoma"/>
          <w:sz w:val="24"/>
          <w:szCs w:val="24"/>
        </w:rPr>
        <w:t xml:space="preserve"> stav 1</w:t>
      </w:r>
      <w:r w:rsidR="000F433F" w:rsidRPr="00B071B9">
        <w:rPr>
          <w:rFonts w:asciiTheme="majorHAnsi" w:hAnsiTheme="majorHAnsi" w:cs="Tahoma"/>
          <w:sz w:val="24"/>
          <w:szCs w:val="24"/>
        </w:rPr>
        <w:t>3</w:t>
      </w:r>
      <w:r w:rsidRPr="00B071B9">
        <w:rPr>
          <w:rFonts w:asciiTheme="majorHAnsi" w:hAnsiTheme="majorHAnsi" w:cs="Tahoma"/>
          <w:sz w:val="24"/>
          <w:szCs w:val="24"/>
        </w:rPr>
        <w:t xml:space="preserve"> Zakona </w:t>
      </w:r>
      <w:r w:rsidR="000F433F" w:rsidRPr="00B071B9">
        <w:rPr>
          <w:rFonts w:asciiTheme="majorHAnsi" w:hAnsiTheme="majorHAnsi" w:cs="Tahoma"/>
          <w:sz w:val="24"/>
          <w:szCs w:val="24"/>
        </w:rPr>
        <w:t>o legalizaciji bespravnih objekata</w:t>
      </w:r>
      <w:r w:rsidRPr="00B071B9">
        <w:rPr>
          <w:rFonts w:asciiTheme="majorHAnsi" w:hAnsiTheme="majorHAnsi" w:cs="Tahoma"/>
          <w:sz w:val="24"/>
          <w:szCs w:val="24"/>
        </w:rPr>
        <w:t xml:space="preserve">, Vlada Crne Gore je aktom br.___________ </w:t>
      </w:r>
      <w:proofErr w:type="gramStart"/>
      <w:r w:rsidRPr="00B071B9">
        <w:rPr>
          <w:rFonts w:asciiTheme="majorHAnsi" w:hAnsiTheme="majorHAnsi" w:cs="Tahoma"/>
          <w:sz w:val="24"/>
          <w:szCs w:val="24"/>
        </w:rPr>
        <w:t>od</w:t>
      </w:r>
      <w:proofErr w:type="gramEnd"/>
      <w:r w:rsidRPr="00B071B9">
        <w:rPr>
          <w:rFonts w:asciiTheme="majorHAnsi" w:hAnsiTheme="majorHAnsi" w:cs="Tahoma"/>
          <w:sz w:val="24"/>
          <w:szCs w:val="24"/>
        </w:rPr>
        <w:t xml:space="preserve"> ________________ dala saglasnost na Predlog Odluke o naknadi za urbanu sanaciju.</w:t>
      </w:r>
    </w:p>
    <w:p w:rsidR="008D1984" w:rsidRPr="00B071B9" w:rsidRDefault="008D1984" w:rsidP="00B071B9">
      <w:pPr>
        <w:widowControl w:val="0"/>
        <w:jc w:val="both"/>
        <w:rPr>
          <w:rFonts w:asciiTheme="majorHAnsi" w:hAnsiTheme="majorHAnsi" w:cs="Tahoma"/>
          <w:sz w:val="24"/>
          <w:szCs w:val="24"/>
        </w:rPr>
      </w:pPr>
    </w:p>
    <w:p w:rsidR="008D1984" w:rsidRPr="00B071B9" w:rsidRDefault="008D1984" w:rsidP="00B071B9">
      <w:pPr>
        <w:widowControl w:val="0"/>
        <w:jc w:val="both"/>
        <w:rPr>
          <w:rFonts w:asciiTheme="majorHAnsi" w:hAnsiTheme="majorHAnsi" w:cs="Tahoma"/>
          <w:b/>
          <w:sz w:val="24"/>
          <w:szCs w:val="24"/>
        </w:rPr>
      </w:pPr>
      <w:r w:rsidRPr="00B071B9">
        <w:rPr>
          <w:rFonts w:asciiTheme="majorHAnsi" w:hAnsiTheme="majorHAnsi" w:cs="Tahoma"/>
          <w:b/>
          <w:sz w:val="24"/>
          <w:szCs w:val="24"/>
        </w:rPr>
        <w:t>II</w:t>
      </w:r>
      <w:r w:rsidRPr="00B071B9">
        <w:rPr>
          <w:rFonts w:asciiTheme="majorHAnsi" w:hAnsiTheme="majorHAnsi" w:cs="Tahoma"/>
          <w:b/>
          <w:sz w:val="24"/>
          <w:szCs w:val="24"/>
        </w:rPr>
        <w:tab/>
        <w:t>RAZLOZI ZA DONOŠENJE ODLUKE</w:t>
      </w:r>
    </w:p>
    <w:p w:rsidR="008D1984" w:rsidRPr="00B071B9" w:rsidRDefault="008D1984" w:rsidP="00B071B9">
      <w:pPr>
        <w:widowControl w:val="0"/>
        <w:jc w:val="both"/>
        <w:rPr>
          <w:rFonts w:asciiTheme="majorHAnsi" w:hAnsiTheme="majorHAnsi" w:cs="Tahoma"/>
          <w:b/>
          <w:sz w:val="24"/>
          <w:szCs w:val="24"/>
        </w:rPr>
      </w:pPr>
    </w:p>
    <w:p w:rsidR="008D1984" w:rsidRPr="00B071B9" w:rsidRDefault="008D1984" w:rsidP="00B071B9">
      <w:pPr>
        <w:widowControl w:val="0"/>
        <w:jc w:val="both"/>
        <w:rPr>
          <w:rFonts w:asciiTheme="majorHAnsi" w:hAnsiTheme="majorHAnsi" w:cs="Tahoma"/>
          <w:sz w:val="24"/>
          <w:szCs w:val="24"/>
        </w:rPr>
      </w:pPr>
      <w:r w:rsidRPr="00B071B9">
        <w:rPr>
          <w:rFonts w:asciiTheme="majorHAnsi" w:hAnsiTheme="majorHAnsi" w:cs="Tahoma"/>
          <w:sz w:val="24"/>
          <w:szCs w:val="24"/>
        </w:rPr>
        <w:t xml:space="preserve">Skupština Crne Gore je donijela Zakon o </w:t>
      </w:r>
      <w:r w:rsidR="000F433F" w:rsidRPr="00B071B9">
        <w:rPr>
          <w:rFonts w:asciiTheme="majorHAnsi" w:hAnsiTheme="majorHAnsi" w:cs="Tahoma"/>
          <w:sz w:val="24"/>
          <w:szCs w:val="24"/>
        </w:rPr>
        <w:t>legalizaciji bespravnih objekata ("Službeni list Crne Gore", br. 91/25)</w:t>
      </w:r>
      <w:r w:rsidRPr="00B071B9">
        <w:rPr>
          <w:rFonts w:asciiTheme="majorHAnsi" w:hAnsiTheme="majorHAnsi" w:cs="Tahoma"/>
          <w:sz w:val="24"/>
          <w:szCs w:val="24"/>
        </w:rPr>
        <w:t xml:space="preserve"> koji je stupio </w:t>
      </w:r>
      <w:proofErr w:type="gramStart"/>
      <w:r w:rsidRPr="00B071B9">
        <w:rPr>
          <w:rFonts w:asciiTheme="majorHAnsi" w:hAnsiTheme="majorHAnsi" w:cs="Tahoma"/>
          <w:sz w:val="24"/>
          <w:szCs w:val="24"/>
        </w:rPr>
        <w:t>na</w:t>
      </w:r>
      <w:proofErr w:type="gramEnd"/>
      <w:r w:rsidRPr="00B071B9">
        <w:rPr>
          <w:rFonts w:asciiTheme="majorHAnsi" w:hAnsiTheme="majorHAnsi" w:cs="Tahoma"/>
          <w:sz w:val="24"/>
          <w:szCs w:val="24"/>
        </w:rPr>
        <w:t xml:space="preserve"> snagu 14. </w:t>
      </w:r>
      <w:proofErr w:type="gramStart"/>
      <w:r w:rsidRPr="00B071B9">
        <w:rPr>
          <w:rFonts w:asciiTheme="majorHAnsi" w:hAnsiTheme="majorHAnsi" w:cs="Tahoma"/>
          <w:sz w:val="24"/>
          <w:szCs w:val="24"/>
        </w:rPr>
        <w:t>avgusta</w:t>
      </w:r>
      <w:proofErr w:type="gramEnd"/>
      <w:r w:rsidRPr="00B071B9">
        <w:rPr>
          <w:rFonts w:asciiTheme="majorHAnsi" w:hAnsiTheme="majorHAnsi" w:cs="Tahoma"/>
          <w:sz w:val="24"/>
          <w:szCs w:val="24"/>
        </w:rPr>
        <w:t xml:space="preserve"> 202</w:t>
      </w:r>
      <w:r w:rsidR="000F433F" w:rsidRPr="00B071B9">
        <w:rPr>
          <w:rFonts w:asciiTheme="majorHAnsi" w:hAnsiTheme="majorHAnsi" w:cs="Tahoma"/>
          <w:sz w:val="24"/>
          <w:szCs w:val="24"/>
        </w:rPr>
        <w:t>5</w:t>
      </w:r>
      <w:r w:rsidRPr="00B071B9">
        <w:rPr>
          <w:rFonts w:asciiTheme="majorHAnsi" w:hAnsiTheme="majorHAnsi" w:cs="Tahoma"/>
          <w:sz w:val="24"/>
          <w:szCs w:val="24"/>
        </w:rPr>
        <w:t xml:space="preserve">. </w:t>
      </w:r>
      <w:proofErr w:type="gramStart"/>
      <w:r w:rsidRPr="00B071B9">
        <w:rPr>
          <w:rFonts w:asciiTheme="majorHAnsi" w:hAnsiTheme="majorHAnsi" w:cs="Tahoma"/>
          <w:sz w:val="24"/>
          <w:szCs w:val="24"/>
        </w:rPr>
        <w:t>godine</w:t>
      </w:r>
      <w:proofErr w:type="gramEnd"/>
      <w:r w:rsidRPr="00B071B9">
        <w:rPr>
          <w:rFonts w:asciiTheme="majorHAnsi" w:hAnsiTheme="majorHAnsi" w:cs="Tahoma"/>
          <w:sz w:val="24"/>
          <w:szCs w:val="24"/>
        </w:rPr>
        <w:t>. Ovim Zakonom je, između ostalog</w:t>
      </w:r>
      <w:r w:rsidR="000F433F" w:rsidRPr="00B071B9">
        <w:rPr>
          <w:rFonts w:asciiTheme="majorHAnsi" w:hAnsiTheme="majorHAnsi" w:cs="Tahoma"/>
          <w:sz w:val="24"/>
          <w:szCs w:val="24"/>
        </w:rPr>
        <w:t>,</w:t>
      </w:r>
      <w:r w:rsidRPr="00B071B9">
        <w:rPr>
          <w:rFonts w:asciiTheme="majorHAnsi" w:hAnsiTheme="majorHAnsi" w:cs="Tahoma"/>
          <w:sz w:val="24"/>
          <w:szCs w:val="24"/>
        </w:rPr>
        <w:t xml:space="preserve"> </w:t>
      </w:r>
      <w:r w:rsidR="000F433F" w:rsidRPr="00B071B9">
        <w:rPr>
          <w:rFonts w:asciiTheme="majorHAnsi" w:hAnsiTheme="majorHAnsi" w:cs="Tahoma"/>
          <w:sz w:val="24"/>
          <w:szCs w:val="24"/>
        </w:rPr>
        <w:t>definisana</w:t>
      </w:r>
      <w:r w:rsidRPr="00B071B9">
        <w:rPr>
          <w:rFonts w:asciiTheme="majorHAnsi" w:hAnsiTheme="majorHAnsi" w:cs="Tahoma"/>
          <w:b/>
          <w:i/>
          <w:sz w:val="24"/>
          <w:szCs w:val="24"/>
        </w:rPr>
        <w:t xml:space="preserve"> </w:t>
      </w:r>
      <w:r w:rsidRPr="00B071B9">
        <w:rPr>
          <w:rFonts w:asciiTheme="majorHAnsi" w:hAnsiTheme="majorHAnsi" w:cs="Tahoma"/>
          <w:sz w:val="24"/>
          <w:szCs w:val="24"/>
        </w:rPr>
        <w:t>naknad</w:t>
      </w:r>
      <w:r w:rsidR="000F433F" w:rsidRPr="00B071B9">
        <w:rPr>
          <w:rFonts w:asciiTheme="majorHAnsi" w:hAnsiTheme="majorHAnsi" w:cs="Tahoma"/>
          <w:sz w:val="24"/>
          <w:szCs w:val="24"/>
        </w:rPr>
        <w:t>a</w:t>
      </w:r>
      <w:r w:rsidRPr="00B071B9">
        <w:rPr>
          <w:rFonts w:asciiTheme="majorHAnsi" w:hAnsiTheme="majorHAnsi" w:cs="Tahoma"/>
          <w:sz w:val="24"/>
          <w:szCs w:val="24"/>
        </w:rPr>
        <w:t xml:space="preserve"> za urbanu sanaciju, koj</w:t>
      </w:r>
      <w:r w:rsidR="000F433F" w:rsidRPr="00B071B9">
        <w:rPr>
          <w:rFonts w:asciiTheme="majorHAnsi" w:hAnsiTheme="majorHAnsi" w:cs="Tahoma"/>
          <w:sz w:val="24"/>
          <w:szCs w:val="24"/>
        </w:rPr>
        <w:t>u</w:t>
      </w:r>
      <w:r w:rsidRPr="00B071B9">
        <w:rPr>
          <w:rFonts w:asciiTheme="majorHAnsi" w:hAnsiTheme="majorHAnsi" w:cs="Tahoma"/>
          <w:sz w:val="24"/>
          <w:szCs w:val="24"/>
        </w:rPr>
        <w:t xml:space="preserve"> kao prihod uvodi jedinic</w:t>
      </w:r>
      <w:r w:rsidR="000F433F" w:rsidRPr="00B071B9">
        <w:rPr>
          <w:rFonts w:asciiTheme="majorHAnsi" w:hAnsiTheme="majorHAnsi" w:cs="Tahoma"/>
          <w:sz w:val="24"/>
          <w:szCs w:val="24"/>
        </w:rPr>
        <w:t>a</w:t>
      </w:r>
      <w:r w:rsidRPr="00B071B9">
        <w:rPr>
          <w:rFonts w:asciiTheme="majorHAnsi" w:hAnsiTheme="majorHAnsi" w:cs="Tahoma"/>
          <w:sz w:val="24"/>
          <w:szCs w:val="24"/>
        </w:rPr>
        <w:t xml:space="preserve"> lokalne samouprave, kojoj je dato ovlašćenje da utvrdi ovaj prihod donošenjem opštinskog propisa – odluke kojom </w:t>
      </w:r>
      <w:proofErr w:type="gramStart"/>
      <w:r w:rsidRPr="00B071B9">
        <w:rPr>
          <w:rFonts w:asciiTheme="majorHAnsi" w:hAnsiTheme="majorHAnsi" w:cs="Tahoma"/>
          <w:sz w:val="24"/>
          <w:szCs w:val="24"/>
        </w:rPr>
        <w:t>će</w:t>
      </w:r>
      <w:proofErr w:type="gramEnd"/>
      <w:r w:rsidRPr="00B071B9">
        <w:rPr>
          <w:rFonts w:asciiTheme="majorHAnsi" w:hAnsiTheme="majorHAnsi" w:cs="Tahoma"/>
          <w:sz w:val="24"/>
          <w:szCs w:val="24"/>
        </w:rPr>
        <w:t xml:space="preserve"> se propisati </w:t>
      </w:r>
      <w:r w:rsidR="000F433F" w:rsidRPr="00B071B9">
        <w:rPr>
          <w:rFonts w:asciiTheme="majorHAnsi" w:hAnsiTheme="majorHAnsi" w:cs="Tahoma"/>
          <w:sz w:val="24"/>
          <w:szCs w:val="24"/>
        </w:rPr>
        <w:t xml:space="preserve">bliži </w:t>
      </w:r>
      <w:r w:rsidRPr="00B071B9">
        <w:rPr>
          <w:rFonts w:asciiTheme="majorHAnsi" w:hAnsiTheme="majorHAnsi" w:cs="Tahoma"/>
          <w:sz w:val="24"/>
          <w:szCs w:val="24"/>
        </w:rPr>
        <w:t xml:space="preserve">uslovi, </w:t>
      </w:r>
      <w:r w:rsidR="000F433F" w:rsidRPr="00B071B9">
        <w:rPr>
          <w:rFonts w:asciiTheme="majorHAnsi" w:hAnsiTheme="majorHAnsi" w:cs="Tahoma"/>
          <w:sz w:val="24"/>
          <w:szCs w:val="24"/>
        </w:rPr>
        <w:t xml:space="preserve">visinu, način i rokove plaćanja </w:t>
      </w:r>
      <w:r w:rsidRPr="00B071B9">
        <w:rPr>
          <w:rFonts w:asciiTheme="majorHAnsi" w:hAnsiTheme="majorHAnsi" w:cs="Tahoma"/>
          <w:sz w:val="24"/>
          <w:szCs w:val="24"/>
        </w:rPr>
        <w:t xml:space="preserve">naknade za urbanu sanaciju. </w:t>
      </w:r>
    </w:p>
    <w:p w:rsidR="008D1984" w:rsidRPr="00B071B9" w:rsidRDefault="008D1984" w:rsidP="00B071B9">
      <w:pPr>
        <w:widowControl w:val="0"/>
        <w:jc w:val="both"/>
        <w:rPr>
          <w:rFonts w:asciiTheme="majorHAnsi" w:hAnsiTheme="majorHAnsi" w:cs="Tahoma"/>
          <w:sz w:val="24"/>
          <w:szCs w:val="24"/>
        </w:rPr>
      </w:pPr>
    </w:p>
    <w:p w:rsidR="00185A6E" w:rsidRPr="00B071B9" w:rsidRDefault="00185A6E" w:rsidP="00B071B9">
      <w:pPr>
        <w:widowControl w:val="0"/>
        <w:jc w:val="both"/>
        <w:rPr>
          <w:rFonts w:asciiTheme="majorHAnsi" w:hAnsiTheme="majorHAnsi" w:cs="Tahoma"/>
          <w:sz w:val="24"/>
          <w:szCs w:val="24"/>
        </w:rPr>
      </w:pPr>
    </w:p>
    <w:p w:rsidR="00185A6E" w:rsidRPr="00B071B9" w:rsidRDefault="00185A6E" w:rsidP="00B071B9">
      <w:pPr>
        <w:widowControl w:val="0"/>
        <w:jc w:val="both"/>
        <w:rPr>
          <w:rFonts w:asciiTheme="majorHAnsi" w:hAnsiTheme="majorHAnsi" w:cs="Tahoma"/>
          <w:sz w:val="24"/>
          <w:szCs w:val="24"/>
        </w:rPr>
      </w:pPr>
    </w:p>
    <w:p w:rsidR="008D1984" w:rsidRPr="00B071B9" w:rsidRDefault="008D1984" w:rsidP="00B071B9">
      <w:pPr>
        <w:widowControl w:val="0"/>
        <w:jc w:val="both"/>
        <w:rPr>
          <w:rFonts w:asciiTheme="majorHAnsi" w:hAnsiTheme="majorHAnsi" w:cs="Tahoma"/>
          <w:b/>
          <w:sz w:val="24"/>
          <w:szCs w:val="24"/>
        </w:rPr>
      </w:pPr>
      <w:r w:rsidRPr="00B071B9">
        <w:rPr>
          <w:rFonts w:asciiTheme="majorHAnsi" w:hAnsiTheme="majorHAnsi" w:cs="Tahoma"/>
          <w:b/>
          <w:sz w:val="24"/>
          <w:szCs w:val="24"/>
        </w:rPr>
        <w:t>III</w:t>
      </w:r>
      <w:r w:rsidRPr="00B071B9">
        <w:rPr>
          <w:rFonts w:asciiTheme="majorHAnsi" w:hAnsiTheme="majorHAnsi" w:cs="Tahoma"/>
          <w:b/>
          <w:sz w:val="24"/>
          <w:szCs w:val="24"/>
        </w:rPr>
        <w:tab/>
        <w:t>OBJAŠNJENJE OSNOVNIH PRAVNIH INSTITUTA</w:t>
      </w:r>
    </w:p>
    <w:p w:rsidR="008D1984" w:rsidRPr="00B071B9" w:rsidRDefault="008D1984" w:rsidP="00B071B9">
      <w:pPr>
        <w:widowControl w:val="0"/>
        <w:jc w:val="both"/>
        <w:rPr>
          <w:rFonts w:asciiTheme="majorHAnsi" w:hAnsiTheme="majorHAnsi" w:cs="Tahoma"/>
          <w:b/>
          <w:sz w:val="24"/>
          <w:szCs w:val="24"/>
        </w:rPr>
      </w:pPr>
    </w:p>
    <w:p w:rsidR="008D1984" w:rsidRPr="00B071B9" w:rsidRDefault="008D1984" w:rsidP="00B071B9">
      <w:pPr>
        <w:widowControl w:val="0"/>
        <w:jc w:val="both"/>
        <w:rPr>
          <w:rFonts w:asciiTheme="majorHAnsi" w:hAnsiTheme="majorHAnsi" w:cs="Tahoma"/>
          <w:sz w:val="24"/>
          <w:szCs w:val="24"/>
        </w:rPr>
      </w:pPr>
      <w:proofErr w:type="gramStart"/>
      <w:r w:rsidRPr="00B071B9">
        <w:rPr>
          <w:rFonts w:asciiTheme="majorHAnsi" w:hAnsiTheme="majorHAnsi" w:cs="Tahoma"/>
          <w:b/>
          <w:sz w:val="24"/>
          <w:szCs w:val="24"/>
        </w:rPr>
        <w:t xml:space="preserve">Poglavlje I - Osnovne odredbe - Članom 1 </w:t>
      </w:r>
      <w:r w:rsidRPr="00B071B9">
        <w:rPr>
          <w:rFonts w:asciiTheme="majorHAnsi" w:hAnsiTheme="majorHAnsi" w:cs="Tahoma"/>
          <w:sz w:val="24"/>
          <w:szCs w:val="24"/>
        </w:rPr>
        <w:t>utvrđeno</w:t>
      </w:r>
      <w:r w:rsidRPr="00B071B9">
        <w:rPr>
          <w:rFonts w:asciiTheme="majorHAnsi" w:hAnsiTheme="majorHAnsi" w:cs="Tahoma"/>
          <w:b/>
          <w:sz w:val="24"/>
          <w:szCs w:val="24"/>
        </w:rPr>
        <w:t xml:space="preserve"> </w:t>
      </w:r>
      <w:r w:rsidRPr="00B071B9">
        <w:rPr>
          <w:rFonts w:asciiTheme="majorHAnsi" w:hAnsiTheme="majorHAnsi" w:cs="Tahoma"/>
          <w:sz w:val="24"/>
          <w:szCs w:val="24"/>
        </w:rPr>
        <w:t xml:space="preserve">je da se ovom odlukom propisuju </w:t>
      </w:r>
      <w:r w:rsidR="000F433F" w:rsidRPr="00B071B9">
        <w:rPr>
          <w:rFonts w:asciiTheme="majorHAnsi" w:hAnsiTheme="majorHAnsi" w:cs="Tahoma"/>
          <w:sz w:val="24"/>
          <w:szCs w:val="24"/>
        </w:rPr>
        <w:t>bliži uslovi, visina, način i rokovi plaćanja</w:t>
      </w:r>
      <w:r w:rsidRPr="00B071B9">
        <w:rPr>
          <w:rFonts w:asciiTheme="majorHAnsi" w:hAnsiTheme="majorHAnsi" w:cs="Tahoma"/>
          <w:sz w:val="24"/>
          <w:szCs w:val="24"/>
        </w:rPr>
        <w:t xml:space="preserve"> naknade za urbanu sanaciju, dok su članom 2 sprovedene odredbe Zakona o rodnoj ravnopravnosti.</w:t>
      </w:r>
      <w:proofErr w:type="gramEnd"/>
    </w:p>
    <w:p w:rsidR="008D1984" w:rsidRPr="00B071B9" w:rsidRDefault="008D1984" w:rsidP="00B071B9">
      <w:pPr>
        <w:widowControl w:val="0"/>
        <w:jc w:val="both"/>
        <w:rPr>
          <w:rFonts w:asciiTheme="majorHAnsi" w:hAnsiTheme="majorHAnsi" w:cs="Tahoma"/>
          <w:b/>
          <w:sz w:val="24"/>
          <w:szCs w:val="24"/>
        </w:rPr>
      </w:pPr>
    </w:p>
    <w:p w:rsidR="008D1984" w:rsidRPr="00B071B9" w:rsidRDefault="008D1984" w:rsidP="00B071B9">
      <w:pPr>
        <w:widowControl w:val="0"/>
        <w:jc w:val="both"/>
        <w:rPr>
          <w:rFonts w:asciiTheme="majorHAnsi" w:hAnsiTheme="majorHAnsi" w:cs="Tahoma"/>
          <w:sz w:val="24"/>
          <w:szCs w:val="24"/>
        </w:rPr>
      </w:pPr>
      <w:r w:rsidRPr="00B071B9">
        <w:rPr>
          <w:rFonts w:asciiTheme="majorHAnsi" w:hAnsiTheme="majorHAnsi" w:cs="Tahoma"/>
          <w:b/>
          <w:sz w:val="24"/>
          <w:szCs w:val="24"/>
        </w:rPr>
        <w:t xml:space="preserve">Poglavlje II – </w:t>
      </w:r>
      <w:r w:rsidR="000F433F" w:rsidRPr="00B071B9">
        <w:rPr>
          <w:rFonts w:asciiTheme="majorHAnsi" w:hAnsiTheme="majorHAnsi" w:cs="Tahoma"/>
          <w:b/>
          <w:sz w:val="24"/>
          <w:szCs w:val="24"/>
        </w:rPr>
        <w:t>Bliži uslovi i visina naknade</w:t>
      </w:r>
      <w:r w:rsidRPr="00B071B9">
        <w:rPr>
          <w:rFonts w:asciiTheme="majorHAnsi" w:hAnsiTheme="majorHAnsi" w:cs="Tahoma"/>
          <w:b/>
          <w:sz w:val="24"/>
          <w:szCs w:val="24"/>
        </w:rPr>
        <w:t xml:space="preserve"> – Članom 3 </w:t>
      </w:r>
      <w:r w:rsidRPr="00B071B9">
        <w:rPr>
          <w:rFonts w:asciiTheme="majorHAnsi" w:hAnsiTheme="majorHAnsi" w:cs="Tahoma"/>
          <w:sz w:val="24"/>
          <w:szCs w:val="24"/>
        </w:rPr>
        <w:t>utvrđeno je da vlasnik bespravnog objekta plaća naknadu, koja se obračunava po m</w:t>
      </w:r>
      <w:r w:rsidRPr="00B071B9">
        <w:rPr>
          <w:rFonts w:asciiTheme="majorHAnsi" w:hAnsiTheme="majorHAnsi" w:cs="Tahoma"/>
          <w:sz w:val="24"/>
          <w:szCs w:val="24"/>
          <w:vertAlign w:val="superscript"/>
        </w:rPr>
        <w:t>2</w:t>
      </w:r>
      <w:r w:rsidRPr="00B071B9">
        <w:rPr>
          <w:rFonts w:asciiTheme="majorHAnsi" w:hAnsiTheme="majorHAnsi" w:cs="Tahoma"/>
          <w:sz w:val="24"/>
          <w:szCs w:val="24"/>
        </w:rPr>
        <w:t xml:space="preserve"> neto površine objekta i po m</w:t>
      </w:r>
      <w:r w:rsidRPr="00B071B9">
        <w:rPr>
          <w:rFonts w:asciiTheme="majorHAnsi" w:hAnsiTheme="majorHAnsi" w:cs="Tahoma"/>
          <w:sz w:val="24"/>
          <w:szCs w:val="24"/>
          <w:vertAlign w:val="superscript"/>
        </w:rPr>
        <w:t>2</w:t>
      </w:r>
      <w:r w:rsidRPr="00B071B9">
        <w:rPr>
          <w:rFonts w:asciiTheme="majorHAnsi" w:hAnsiTheme="majorHAnsi" w:cs="Tahoma"/>
          <w:sz w:val="24"/>
          <w:szCs w:val="24"/>
        </w:rPr>
        <w:t xml:space="preserve"> otvorenog prostora na parceli namjenjenog za obavljanje djelatnosti, na osnovu elaborata premjera izvedenog stanja izgrađenog objekta ili dijela objekata, ovjerenog od strane licencirane geodetske organizacije i ovjerenog od strane organa uprave nadležnog za poslove katastra, te da se obračun površina vrši </w:t>
      </w:r>
      <w:r w:rsidR="000F433F" w:rsidRPr="00B071B9">
        <w:rPr>
          <w:rFonts w:asciiTheme="majorHAnsi" w:hAnsiTheme="majorHAnsi" w:cs="Tahoma"/>
          <w:color w:val="auto"/>
          <w:sz w:val="24"/>
          <w:szCs w:val="24"/>
        </w:rPr>
        <w:t xml:space="preserve">prema propisu kojim je uređen </w:t>
      </w:r>
      <w:r w:rsidR="00FE6CB4" w:rsidRPr="00B071B9">
        <w:rPr>
          <w:rFonts w:asciiTheme="majorHAnsi" w:hAnsiTheme="majorHAnsi" w:cs="Tahoma"/>
          <w:color w:val="auto"/>
          <w:sz w:val="24"/>
          <w:szCs w:val="24"/>
        </w:rPr>
        <w:t>način obračuna površine i zapremine zgrade.</w:t>
      </w:r>
    </w:p>
    <w:p w:rsidR="008D1984" w:rsidRPr="00B071B9" w:rsidRDefault="008D1984" w:rsidP="00B071B9">
      <w:pPr>
        <w:widowControl w:val="0"/>
        <w:jc w:val="both"/>
        <w:rPr>
          <w:rFonts w:asciiTheme="majorHAnsi" w:hAnsiTheme="majorHAnsi" w:cs="Tahoma"/>
          <w:sz w:val="24"/>
          <w:szCs w:val="24"/>
        </w:rPr>
      </w:pPr>
    </w:p>
    <w:p w:rsidR="008D1984" w:rsidRPr="00B071B9" w:rsidRDefault="008D1984" w:rsidP="00B071B9">
      <w:pPr>
        <w:widowControl w:val="0"/>
        <w:jc w:val="both"/>
        <w:rPr>
          <w:rFonts w:asciiTheme="majorHAnsi" w:hAnsiTheme="majorHAnsi" w:cs="Tahoma"/>
          <w:b/>
          <w:sz w:val="24"/>
          <w:szCs w:val="24"/>
        </w:rPr>
      </w:pPr>
      <w:r w:rsidRPr="00B071B9">
        <w:rPr>
          <w:rFonts w:asciiTheme="majorHAnsi" w:hAnsiTheme="majorHAnsi" w:cs="Tahoma"/>
          <w:b/>
          <w:sz w:val="24"/>
          <w:szCs w:val="24"/>
        </w:rPr>
        <w:t xml:space="preserve">Članom 4 </w:t>
      </w:r>
      <w:r w:rsidRPr="00B071B9">
        <w:rPr>
          <w:rFonts w:asciiTheme="majorHAnsi" w:hAnsiTheme="majorHAnsi" w:cs="Tahoma"/>
          <w:sz w:val="24"/>
          <w:szCs w:val="24"/>
        </w:rPr>
        <w:t xml:space="preserve">su propisani kriterijumi </w:t>
      </w:r>
      <w:proofErr w:type="gramStart"/>
      <w:r w:rsidRPr="00B071B9">
        <w:rPr>
          <w:rFonts w:asciiTheme="majorHAnsi" w:hAnsiTheme="majorHAnsi" w:cs="Tahoma"/>
          <w:sz w:val="24"/>
          <w:szCs w:val="24"/>
        </w:rPr>
        <w:t>na</w:t>
      </w:r>
      <w:proofErr w:type="gramEnd"/>
      <w:r w:rsidRPr="00B071B9">
        <w:rPr>
          <w:rFonts w:asciiTheme="majorHAnsi" w:hAnsiTheme="majorHAnsi" w:cs="Tahoma"/>
          <w:sz w:val="24"/>
          <w:szCs w:val="24"/>
        </w:rPr>
        <w:t xml:space="preserve"> osnovu kojih se utvrđuje naknada, shodno članu </w:t>
      </w:r>
      <w:r w:rsidR="000F433F" w:rsidRPr="00B071B9">
        <w:rPr>
          <w:rFonts w:asciiTheme="majorHAnsi" w:hAnsiTheme="majorHAnsi" w:cs="Tahoma"/>
          <w:sz w:val="24"/>
          <w:szCs w:val="24"/>
        </w:rPr>
        <w:t>23</w:t>
      </w:r>
      <w:r w:rsidRPr="00B071B9">
        <w:rPr>
          <w:rFonts w:asciiTheme="majorHAnsi" w:hAnsiTheme="majorHAnsi" w:cs="Tahoma"/>
          <w:sz w:val="24"/>
          <w:szCs w:val="24"/>
        </w:rPr>
        <w:t xml:space="preserve"> stav </w:t>
      </w:r>
      <w:r w:rsidR="000F433F" w:rsidRPr="00B071B9">
        <w:rPr>
          <w:rFonts w:asciiTheme="majorHAnsi" w:hAnsiTheme="majorHAnsi" w:cs="Tahoma"/>
          <w:sz w:val="24"/>
          <w:szCs w:val="24"/>
        </w:rPr>
        <w:t>5</w:t>
      </w:r>
      <w:r w:rsidRPr="00B071B9">
        <w:rPr>
          <w:rFonts w:asciiTheme="majorHAnsi" w:hAnsiTheme="majorHAnsi" w:cs="Tahoma"/>
          <w:sz w:val="24"/>
          <w:szCs w:val="24"/>
        </w:rPr>
        <w:t xml:space="preserve"> Zakona o </w:t>
      </w:r>
      <w:r w:rsidR="000F433F" w:rsidRPr="00B071B9">
        <w:rPr>
          <w:rFonts w:asciiTheme="majorHAnsi" w:hAnsiTheme="majorHAnsi" w:cs="Tahoma"/>
          <w:sz w:val="24"/>
          <w:szCs w:val="24"/>
        </w:rPr>
        <w:t>legalizaciji bespravnih objekata</w:t>
      </w:r>
      <w:r w:rsidRPr="00B071B9">
        <w:rPr>
          <w:rFonts w:asciiTheme="majorHAnsi" w:hAnsiTheme="majorHAnsi" w:cs="Tahoma"/>
          <w:sz w:val="24"/>
          <w:szCs w:val="24"/>
        </w:rPr>
        <w:t>.</w:t>
      </w:r>
    </w:p>
    <w:p w:rsidR="008D1984" w:rsidRPr="00B071B9" w:rsidRDefault="008D1984" w:rsidP="00B071B9">
      <w:pPr>
        <w:widowControl w:val="0"/>
        <w:jc w:val="both"/>
        <w:rPr>
          <w:rFonts w:asciiTheme="majorHAnsi" w:hAnsiTheme="majorHAnsi" w:cs="Tahoma"/>
          <w:sz w:val="24"/>
          <w:szCs w:val="24"/>
        </w:rPr>
      </w:pPr>
    </w:p>
    <w:p w:rsidR="000F433F" w:rsidRPr="00B071B9" w:rsidRDefault="008D1984" w:rsidP="00B071B9">
      <w:pPr>
        <w:widowControl w:val="0"/>
        <w:jc w:val="both"/>
        <w:rPr>
          <w:rFonts w:asciiTheme="majorHAnsi" w:hAnsiTheme="majorHAnsi"/>
          <w:sz w:val="24"/>
          <w:szCs w:val="24"/>
        </w:rPr>
      </w:pPr>
      <w:r w:rsidRPr="00B071B9">
        <w:rPr>
          <w:rFonts w:asciiTheme="majorHAnsi" w:hAnsiTheme="majorHAnsi" w:cs="Tahoma"/>
          <w:b/>
          <w:sz w:val="24"/>
          <w:szCs w:val="24"/>
        </w:rPr>
        <w:t xml:space="preserve">Članom 5 </w:t>
      </w:r>
      <w:r w:rsidR="000F433F" w:rsidRPr="00B071B9">
        <w:rPr>
          <w:rFonts w:asciiTheme="majorHAnsi" w:hAnsiTheme="majorHAnsi" w:cs="Tahoma"/>
          <w:sz w:val="24"/>
          <w:szCs w:val="24"/>
        </w:rPr>
        <w:t>utvrđeni su t</w:t>
      </w:r>
      <w:r w:rsidR="000F433F" w:rsidRPr="00B071B9">
        <w:rPr>
          <w:rFonts w:asciiTheme="majorHAnsi" w:hAnsiTheme="majorHAnsi"/>
          <w:sz w:val="24"/>
          <w:szCs w:val="24"/>
        </w:rPr>
        <w:t xml:space="preserve">roškovi komunalnog opremanja </w:t>
      </w:r>
      <w:proofErr w:type="gramStart"/>
      <w:r w:rsidR="000F433F" w:rsidRPr="00B071B9">
        <w:rPr>
          <w:rFonts w:asciiTheme="majorHAnsi" w:hAnsiTheme="majorHAnsi"/>
          <w:sz w:val="24"/>
          <w:szCs w:val="24"/>
        </w:rPr>
        <w:t>na</w:t>
      </w:r>
      <w:proofErr w:type="gramEnd"/>
      <w:r w:rsidR="000F433F" w:rsidRPr="00B071B9">
        <w:rPr>
          <w:rFonts w:asciiTheme="majorHAnsi" w:hAnsiTheme="majorHAnsi"/>
          <w:sz w:val="24"/>
          <w:szCs w:val="24"/>
        </w:rPr>
        <w:t xml:space="preserve"> osnovu ekonomsko tržišne projekcije planskog dokumenta za komunalno opremanje prostora u zahvatu pojedinih zona.</w:t>
      </w:r>
    </w:p>
    <w:p w:rsidR="000F433F" w:rsidRPr="00B071B9" w:rsidRDefault="000F433F" w:rsidP="00B071B9">
      <w:pPr>
        <w:widowControl w:val="0"/>
        <w:jc w:val="both"/>
        <w:rPr>
          <w:rFonts w:asciiTheme="majorHAnsi" w:hAnsiTheme="majorHAnsi"/>
          <w:sz w:val="24"/>
          <w:szCs w:val="24"/>
        </w:rPr>
      </w:pPr>
    </w:p>
    <w:p w:rsidR="008D1984" w:rsidRPr="00B071B9" w:rsidRDefault="000F433F" w:rsidP="00B071B9">
      <w:pPr>
        <w:widowControl w:val="0"/>
        <w:jc w:val="both"/>
        <w:rPr>
          <w:rFonts w:asciiTheme="majorHAnsi" w:hAnsiTheme="majorHAnsi" w:cs="Tahoma"/>
          <w:sz w:val="24"/>
          <w:szCs w:val="24"/>
        </w:rPr>
      </w:pPr>
      <w:r w:rsidRPr="00B071B9">
        <w:rPr>
          <w:rFonts w:asciiTheme="majorHAnsi" w:hAnsiTheme="majorHAnsi"/>
          <w:b/>
          <w:sz w:val="24"/>
          <w:szCs w:val="24"/>
        </w:rPr>
        <w:t>Članom 6</w:t>
      </w:r>
      <w:r w:rsidRPr="00B071B9">
        <w:rPr>
          <w:rFonts w:asciiTheme="majorHAnsi" w:hAnsiTheme="majorHAnsi"/>
          <w:sz w:val="24"/>
          <w:szCs w:val="24"/>
        </w:rPr>
        <w:t xml:space="preserve"> </w:t>
      </w:r>
      <w:r w:rsidR="008D1984" w:rsidRPr="00B071B9">
        <w:rPr>
          <w:rFonts w:asciiTheme="majorHAnsi" w:hAnsiTheme="majorHAnsi" w:cs="Tahoma"/>
          <w:sz w:val="24"/>
          <w:szCs w:val="24"/>
        </w:rPr>
        <w:t xml:space="preserve">utvrđen je broj zona, čije su granice definisane u skladu </w:t>
      </w:r>
      <w:proofErr w:type="gramStart"/>
      <w:r w:rsidR="008D1984" w:rsidRPr="00B071B9">
        <w:rPr>
          <w:rFonts w:asciiTheme="majorHAnsi" w:hAnsiTheme="majorHAnsi" w:cs="Tahoma"/>
          <w:sz w:val="24"/>
          <w:szCs w:val="24"/>
        </w:rPr>
        <w:t>sa</w:t>
      </w:r>
      <w:proofErr w:type="gramEnd"/>
      <w:r w:rsidR="008D1984" w:rsidRPr="00B071B9">
        <w:rPr>
          <w:rFonts w:asciiTheme="majorHAnsi" w:hAnsiTheme="majorHAnsi" w:cs="Tahoma"/>
          <w:sz w:val="24"/>
          <w:szCs w:val="24"/>
        </w:rPr>
        <w:t xml:space="preserve"> granicama zahvata planskih dokumenata.</w:t>
      </w:r>
    </w:p>
    <w:p w:rsidR="008D1984" w:rsidRPr="00B071B9" w:rsidRDefault="008D1984" w:rsidP="00B071B9">
      <w:pPr>
        <w:widowControl w:val="0"/>
        <w:jc w:val="both"/>
        <w:rPr>
          <w:rFonts w:asciiTheme="majorHAnsi" w:hAnsiTheme="majorHAnsi" w:cs="Tahoma"/>
          <w:sz w:val="24"/>
          <w:szCs w:val="24"/>
        </w:rPr>
      </w:pPr>
    </w:p>
    <w:p w:rsidR="00B658FB" w:rsidRPr="00B071B9" w:rsidRDefault="008D1984" w:rsidP="00B071B9">
      <w:pPr>
        <w:widowControl w:val="0"/>
        <w:jc w:val="both"/>
        <w:rPr>
          <w:rFonts w:asciiTheme="majorHAnsi" w:hAnsiTheme="majorHAnsi"/>
          <w:sz w:val="24"/>
          <w:szCs w:val="24"/>
        </w:rPr>
      </w:pPr>
      <w:r w:rsidRPr="00B071B9">
        <w:rPr>
          <w:rFonts w:asciiTheme="majorHAnsi" w:hAnsiTheme="majorHAnsi" w:cs="Tahoma"/>
          <w:b/>
          <w:sz w:val="24"/>
          <w:szCs w:val="24"/>
        </w:rPr>
        <w:t xml:space="preserve">Članom </w:t>
      </w:r>
      <w:r w:rsidR="00B658FB" w:rsidRPr="00B071B9">
        <w:rPr>
          <w:rFonts w:asciiTheme="majorHAnsi" w:hAnsiTheme="majorHAnsi" w:cs="Tahoma"/>
          <w:b/>
          <w:sz w:val="24"/>
          <w:szCs w:val="24"/>
        </w:rPr>
        <w:t xml:space="preserve">7 </w:t>
      </w:r>
      <w:r w:rsidR="00B658FB" w:rsidRPr="00B071B9">
        <w:rPr>
          <w:rFonts w:asciiTheme="majorHAnsi" w:hAnsiTheme="majorHAnsi" w:cs="Tahoma"/>
          <w:sz w:val="24"/>
          <w:szCs w:val="24"/>
        </w:rPr>
        <w:t>utvrđuje se s</w:t>
      </w:r>
      <w:r w:rsidR="00B658FB" w:rsidRPr="00B071B9">
        <w:rPr>
          <w:rFonts w:asciiTheme="majorHAnsi" w:hAnsiTheme="majorHAnsi"/>
          <w:sz w:val="24"/>
          <w:szCs w:val="24"/>
        </w:rPr>
        <w:t xml:space="preserve">tepen opremljenosti građevinskog zemljišta koji se </w:t>
      </w:r>
      <w:proofErr w:type="gramStart"/>
      <w:r w:rsidR="00B658FB" w:rsidRPr="00B071B9">
        <w:rPr>
          <w:rFonts w:asciiTheme="majorHAnsi" w:hAnsiTheme="majorHAnsi"/>
          <w:sz w:val="24"/>
          <w:szCs w:val="24"/>
        </w:rPr>
        <w:t>iskazuje  koeficijentom</w:t>
      </w:r>
      <w:proofErr w:type="gramEnd"/>
      <w:r w:rsidR="00B658FB" w:rsidRPr="00B071B9">
        <w:rPr>
          <w:rFonts w:asciiTheme="majorHAnsi" w:hAnsiTheme="majorHAnsi"/>
          <w:sz w:val="24"/>
          <w:szCs w:val="24"/>
        </w:rPr>
        <w:t xml:space="preserve"> opremljenosti po zonama.</w:t>
      </w:r>
    </w:p>
    <w:p w:rsidR="00B658FB" w:rsidRPr="00B071B9" w:rsidRDefault="00B658FB" w:rsidP="00B071B9">
      <w:pPr>
        <w:widowControl w:val="0"/>
        <w:jc w:val="both"/>
        <w:rPr>
          <w:rFonts w:asciiTheme="majorHAnsi" w:hAnsiTheme="majorHAnsi"/>
          <w:sz w:val="24"/>
          <w:szCs w:val="24"/>
        </w:rPr>
      </w:pPr>
    </w:p>
    <w:p w:rsidR="00B658FB" w:rsidRPr="00B071B9" w:rsidRDefault="00B658FB" w:rsidP="00B071B9">
      <w:pPr>
        <w:widowControl w:val="0"/>
        <w:jc w:val="both"/>
        <w:rPr>
          <w:rFonts w:asciiTheme="majorHAnsi" w:hAnsiTheme="majorHAnsi"/>
          <w:sz w:val="24"/>
          <w:szCs w:val="24"/>
        </w:rPr>
      </w:pPr>
      <w:r w:rsidRPr="00B071B9">
        <w:rPr>
          <w:rFonts w:asciiTheme="majorHAnsi" w:hAnsiTheme="majorHAnsi"/>
          <w:b/>
          <w:sz w:val="24"/>
          <w:szCs w:val="24"/>
        </w:rPr>
        <w:t>Članom 8</w:t>
      </w:r>
      <w:r w:rsidRPr="00B071B9">
        <w:rPr>
          <w:rFonts w:asciiTheme="majorHAnsi" w:hAnsiTheme="majorHAnsi"/>
          <w:sz w:val="24"/>
          <w:szCs w:val="24"/>
        </w:rPr>
        <w:t xml:space="preserve"> utvrđeni su prosječni troškovi komunalnog opremanja građevinskog zemljišta </w:t>
      </w:r>
      <w:proofErr w:type="gramStart"/>
      <w:r w:rsidRPr="00B071B9">
        <w:rPr>
          <w:rFonts w:asciiTheme="majorHAnsi" w:hAnsiTheme="majorHAnsi"/>
          <w:sz w:val="24"/>
          <w:szCs w:val="24"/>
        </w:rPr>
        <w:t>na</w:t>
      </w:r>
      <w:proofErr w:type="gramEnd"/>
      <w:r w:rsidRPr="00B071B9">
        <w:rPr>
          <w:rFonts w:asciiTheme="majorHAnsi" w:hAnsiTheme="majorHAnsi"/>
          <w:sz w:val="24"/>
          <w:szCs w:val="24"/>
        </w:rPr>
        <w:t xml:space="preserve"> nivou svih zona.</w:t>
      </w:r>
    </w:p>
    <w:p w:rsidR="00B658FB" w:rsidRPr="00B071B9" w:rsidRDefault="00B658FB" w:rsidP="00B071B9">
      <w:pPr>
        <w:widowControl w:val="0"/>
        <w:jc w:val="both"/>
        <w:rPr>
          <w:rFonts w:asciiTheme="majorHAnsi" w:hAnsiTheme="majorHAnsi"/>
          <w:sz w:val="24"/>
          <w:szCs w:val="24"/>
        </w:rPr>
      </w:pPr>
    </w:p>
    <w:p w:rsidR="008D1984" w:rsidRPr="00B071B9" w:rsidRDefault="00B658FB" w:rsidP="00B071B9">
      <w:pPr>
        <w:widowControl w:val="0"/>
        <w:jc w:val="both"/>
        <w:rPr>
          <w:rFonts w:asciiTheme="majorHAnsi" w:hAnsiTheme="majorHAnsi" w:cs="Tahoma"/>
          <w:sz w:val="24"/>
          <w:szCs w:val="24"/>
        </w:rPr>
      </w:pPr>
      <w:proofErr w:type="gramStart"/>
      <w:r w:rsidRPr="00B071B9">
        <w:rPr>
          <w:rFonts w:asciiTheme="majorHAnsi" w:hAnsiTheme="majorHAnsi"/>
          <w:b/>
          <w:sz w:val="24"/>
          <w:szCs w:val="24"/>
        </w:rPr>
        <w:t>Članom 9</w:t>
      </w:r>
      <w:r w:rsidR="0001679E" w:rsidRPr="00B071B9">
        <w:rPr>
          <w:rFonts w:asciiTheme="majorHAnsi" w:hAnsiTheme="majorHAnsi"/>
          <w:b/>
          <w:sz w:val="24"/>
          <w:szCs w:val="24"/>
        </w:rPr>
        <w:t xml:space="preserve"> </w:t>
      </w:r>
      <w:r w:rsidR="008D1984" w:rsidRPr="00B071B9">
        <w:rPr>
          <w:rFonts w:asciiTheme="majorHAnsi" w:hAnsiTheme="majorHAnsi" w:cs="Tahoma"/>
          <w:sz w:val="24"/>
          <w:szCs w:val="24"/>
        </w:rPr>
        <w:t>propisana je visina naknade po zonama.</w:t>
      </w:r>
      <w:proofErr w:type="gramEnd"/>
    </w:p>
    <w:p w:rsidR="008D1984" w:rsidRPr="00B071B9" w:rsidRDefault="008D1984" w:rsidP="00B071B9">
      <w:pPr>
        <w:widowControl w:val="0"/>
        <w:jc w:val="both"/>
        <w:rPr>
          <w:rFonts w:asciiTheme="majorHAnsi" w:hAnsiTheme="majorHAnsi" w:cs="Tahoma"/>
          <w:sz w:val="24"/>
          <w:szCs w:val="24"/>
        </w:rPr>
      </w:pPr>
    </w:p>
    <w:p w:rsidR="008D1984" w:rsidRPr="00B071B9" w:rsidRDefault="008D1984" w:rsidP="00B071B9">
      <w:pPr>
        <w:widowControl w:val="0"/>
        <w:jc w:val="both"/>
        <w:rPr>
          <w:rFonts w:asciiTheme="majorHAnsi" w:hAnsiTheme="majorHAnsi" w:cs="Tahoma"/>
          <w:sz w:val="24"/>
          <w:szCs w:val="24"/>
        </w:rPr>
      </w:pPr>
      <w:proofErr w:type="gramStart"/>
      <w:r w:rsidRPr="00B071B9">
        <w:rPr>
          <w:rFonts w:asciiTheme="majorHAnsi" w:hAnsiTheme="majorHAnsi" w:cs="Tahoma"/>
          <w:b/>
          <w:sz w:val="24"/>
          <w:szCs w:val="24"/>
        </w:rPr>
        <w:t xml:space="preserve">Članom </w:t>
      </w:r>
      <w:r w:rsidR="00B658FB" w:rsidRPr="00B071B9">
        <w:rPr>
          <w:rFonts w:asciiTheme="majorHAnsi" w:hAnsiTheme="majorHAnsi" w:cs="Tahoma"/>
          <w:b/>
          <w:sz w:val="24"/>
          <w:szCs w:val="24"/>
        </w:rPr>
        <w:t>1</w:t>
      </w:r>
      <w:r w:rsidR="0001679E" w:rsidRPr="00B071B9">
        <w:rPr>
          <w:rFonts w:asciiTheme="majorHAnsi" w:hAnsiTheme="majorHAnsi" w:cs="Tahoma"/>
          <w:b/>
          <w:sz w:val="24"/>
          <w:szCs w:val="24"/>
        </w:rPr>
        <w:t>0</w:t>
      </w:r>
      <w:r w:rsidRPr="00B071B9">
        <w:rPr>
          <w:rFonts w:asciiTheme="majorHAnsi" w:hAnsiTheme="majorHAnsi" w:cs="Tahoma"/>
          <w:sz w:val="24"/>
          <w:szCs w:val="24"/>
        </w:rPr>
        <w:t xml:space="preserve"> propisana su umanjenja naknade prema vrst</w:t>
      </w:r>
      <w:r w:rsidR="00B658FB" w:rsidRPr="00B071B9">
        <w:rPr>
          <w:rFonts w:asciiTheme="majorHAnsi" w:hAnsiTheme="majorHAnsi" w:cs="Tahoma"/>
          <w:sz w:val="24"/>
          <w:szCs w:val="24"/>
        </w:rPr>
        <w:t>i i namjeni bespravnih objekata</w:t>
      </w:r>
      <w:r w:rsidRPr="00B071B9">
        <w:rPr>
          <w:rFonts w:asciiTheme="majorHAnsi" w:hAnsiTheme="majorHAnsi" w:cs="Tahoma"/>
          <w:sz w:val="24"/>
          <w:szCs w:val="24"/>
        </w:rPr>
        <w:t>.</w:t>
      </w:r>
      <w:proofErr w:type="gramEnd"/>
    </w:p>
    <w:p w:rsidR="008D1984" w:rsidRPr="00B071B9" w:rsidRDefault="008D1984" w:rsidP="00B071B9">
      <w:pPr>
        <w:widowControl w:val="0"/>
        <w:jc w:val="both"/>
        <w:rPr>
          <w:rFonts w:asciiTheme="majorHAnsi" w:hAnsiTheme="majorHAnsi" w:cs="Tahoma"/>
          <w:sz w:val="24"/>
          <w:szCs w:val="24"/>
        </w:rPr>
      </w:pPr>
    </w:p>
    <w:p w:rsidR="008D1984" w:rsidRPr="00B071B9" w:rsidRDefault="008D1984" w:rsidP="00B071B9">
      <w:pPr>
        <w:widowControl w:val="0"/>
        <w:jc w:val="both"/>
        <w:rPr>
          <w:rFonts w:asciiTheme="majorHAnsi" w:hAnsiTheme="majorHAnsi" w:cs="Tahoma"/>
          <w:sz w:val="24"/>
          <w:szCs w:val="24"/>
        </w:rPr>
      </w:pPr>
      <w:r w:rsidRPr="00B071B9">
        <w:rPr>
          <w:rFonts w:asciiTheme="majorHAnsi" w:hAnsiTheme="majorHAnsi" w:cs="Tahoma"/>
          <w:b/>
          <w:sz w:val="24"/>
          <w:szCs w:val="24"/>
        </w:rPr>
        <w:t xml:space="preserve">Poglavlje III – </w:t>
      </w:r>
      <w:bookmarkStart w:id="0" w:name="_Hlk500760913"/>
      <w:r w:rsidRPr="00B071B9">
        <w:rPr>
          <w:rFonts w:asciiTheme="majorHAnsi" w:hAnsiTheme="majorHAnsi" w:cs="Tahoma"/>
          <w:b/>
          <w:sz w:val="24"/>
          <w:szCs w:val="24"/>
        </w:rPr>
        <w:t>Način, rokovi i postupak plaćanja naknade</w:t>
      </w:r>
      <w:bookmarkEnd w:id="0"/>
      <w:r w:rsidRPr="00B071B9">
        <w:rPr>
          <w:rFonts w:asciiTheme="majorHAnsi" w:hAnsiTheme="majorHAnsi" w:cs="Tahoma"/>
          <w:b/>
          <w:sz w:val="24"/>
          <w:szCs w:val="24"/>
        </w:rPr>
        <w:t xml:space="preserve"> - Članom </w:t>
      </w:r>
      <w:proofErr w:type="gramStart"/>
      <w:r w:rsidR="00B658FB" w:rsidRPr="00B071B9">
        <w:rPr>
          <w:rFonts w:asciiTheme="majorHAnsi" w:hAnsiTheme="majorHAnsi" w:cs="Tahoma"/>
          <w:b/>
          <w:sz w:val="24"/>
          <w:szCs w:val="24"/>
        </w:rPr>
        <w:t>1</w:t>
      </w:r>
      <w:r w:rsidR="0001679E" w:rsidRPr="00B071B9">
        <w:rPr>
          <w:rFonts w:asciiTheme="majorHAnsi" w:hAnsiTheme="majorHAnsi" w:cs="Tahoma"/>
          <w:b/>
          <w:sz w:val="24"/>
          <w:szCs w:val="24"/>
        </w:rPr>
        <w:t>1</w:t>
      </w:r>
      <w:r w:rsidRPr="00B071B9">
        <w:rPr>
          <w:rFonts w:asciiTheme="majorHAnsi" w:hAnsiTheme="majorHAnsi" w:cs="Tahoma"/>
          <w:b/>
          <w:sz w:val="24"/>
          <w:szCs w:val="24"/>
        </w:rPr>
        <w:t xml:space="preserve">  </w:t>
      </w:r>
      <w:r w:rsidRPr="00B071B9">
        <w:rPr>
          <w:rFonts w:asciiTheme="majorHAnsi" w:hAnsiTheme="majorHAnsi" w:cs="Tahoma"/>
          <w:sz w:val="24"/>
          <w:szCs w:val="24"/>
        </w:rPr>
        <w:t>propisano</w:t>
      </w:r>
      <w:proofErr w:type="gramEnd"/>
      <w:r w:rsidRPr="00B071B9">
        <w:rPr>
          <w:rFonts w:asciiTheme="majorHAnsi" w:hAnsiTheme="majorHAnsi" w:cs="Tahoma"/>
          <w:sz w:val="24"/>
          <w:szCs w:val="24"/>
        </w:rPr>
        <w:t xml:space="preserve"> je da će organ lokalne uprave nadležan za poslove legalizacije naknadu utvrđivati rješenjem na osnovu obračuna dostavljenog od strane Agencije.</w:t>
      </w:r>
    </w:p>
    <w:p w:rsidR="008D1984" w:rsidRPr="00B071B9" w:rsidRDefault="008D1984" w:rsidP="00B071B9">
      <w:pPr>
        <w:widowControl w:val="0"/>
        <w:jc w:val="both"/>
        <w:rPr>
          <w:rFonts w:asciiTheme="majorHAnsi" w:hAnsiTheme="majorHAnsi" w:cs="Tahoma"/>
          <w:bCs/>
          <w:sz w:val="24"/>
          <w:szCs w:val="24"/>
        </w:rPr>
      </w:pPr>
    </w:p>
    <w:p w:rsidR="008D1984" w:rsidRPr="00B071B9" w:rsidRDefault="008D1984" w:rsidP="00B071B9">
      <w:pPr>
        <w:widowControl w:val="0"/>
        <w:jc w:val="both"/>
        <w:rPr>
          <w:rFonts w:asciiTheme="majorHAnsi" w:hAnsiTheme="majorHAnsi" w:cs="Tahoma"/>
          <w:bCs/>
          <w:sz w:val="24"/>
          <w:szCs w:val="24"/>
        </w:rPr>
      </w:pPr>
      <w:r w:rsidRPr="00B071B9">
        <w:rPr>
          <w:rFonts w:asciiTheme="majorHAnsi" w:hAnsiTheme="majorHAnsi" w:cs="Tahoma"/>
          <w:b/>
          <w:bCs/>
          <w:sz w:val="24"/>
          <w:szCs w:val="24"/>
        </w:rPr>
        <w:t xml:space="preserve">Članom </w:t>
      </w:r>
      <w:r w:rsidR="00B658FB" w:rsidRPr="00B071B9">
        <w:rPr>
          <w:rFonts w:asciiTheme="majorHAnsi" w:hAnsiTheme="majorHAnsi" w:cs="Tahoma"/>
          <w:b/>
          <w:bCs/>
          <w:sz w:val="24"/>
          <w:szCs w:val="24"/>
        </w:rPr>
        <w:t>1</w:t>
      </w:r>
      <w:r w:rsidR="0001679E" w:rsidRPr="00B071B9">
        <w:rPr>
          <w:rFonts w:asciiTheme="majorHAnsi" w:hAnsiTheme="majorHAnsi" w:cs="Tahoma"/>
          <w:b/>
          <w:bCs/>
          <w:sz w:val="24"/>
          <w:szCs w:val="24"/>
        </w:rPr>
        <w:t>2</w:t>
      </w:r>
      <w:r w:rsidRPr="00B071B9">
        <w:rPr>
          <w:rFonts w:asciiTheme="majorHAnsi" w:hAnsiTheme="majorHAnsi" w:cs="Tahoma"/>
          <w:b/>
          <w:bCs/>
          <w:sz w:val="24"/>
          <w:szCs w:val="24"/>
        </w:rPr>
        <w:t xml:space="preserve"> </w:t>
      </w:r>
      <w:r w:rsidRPr="00B071B9">
        <w:rPr>
          <w:rFonts w:asciiTheme="majorHAnsi" w:hAnsiTheme="majorHAnsi" w:cs="Tahoma"/>
          <w:bCs/>
          <w:sz w:val="24"/>
          <w:szCs w:val="24"/>
        </w:rPr>
        <w:t xml:space="preserve">utvrđeno je da se naknada plaća jednokratno ili u jednakim mjesečnim ratama i to: za bespravne osnovnog stanovanja najviše do </w:t>
      </w:r>
      <w:r w:rsidR="00B658FB" w:rsidRPr="00B071B9">
        <w:rPr>
          <w:rFonts w:asciiTheme="majorHAnsi" w:hAnsiTheme="majorHAnsi" w:cs="Tahoma"/>
          <w:bCs/>
          <w:sz w:val="24"/>
          <w:szCs w:val="24"/>
        </w:rPr>
        <w:t>36</w:t>
      </w:r>
      <w:r w:rsidRPr="00B071B9">
        <w:rPr>
          <w:rFonts w:asciiTheme="majorHAnsi" w:hAnsiTheme="majorHAnsi" w:cs="Tahoma"/>
          <w:bCs/>
          <w:sz w:val="24"/>
          <w:szCs w:val="24"/>
        </w:rPr>
        <w:t xml:space="preserve">0 rata, a za ostale bespravne objekte – najviše do 120 rata, navedenih u zahtjevu vlasnika bespravnog objekta. </w:t>
      </w:r>
      <w:bookmarkStart w:id="1" w:name="_Hlk500761018"/>
      <w:r w:rsidRPr="00B071B9">
        <w:rPr>
          <w:rFonts w:asciiTheme="majorHAnsi" w:hAnsiTheme="majorHAnsi" w:cs="Tahoma"/>
          <w:bCs/>
          <w:sz w:val="24"/>
          <w:szCs w:val="24"/>
        </w:rPr>
        <w:t xml:space="preserve">Ako se vlasnik bespravnog objekta u postupku donošenja rješenja o utvrđivanju naknade ne opredjeli za način plaćanja naknade, plaćanje naknade </w:t>
      </w:r>
      <w:proofErr w:type="gramStart"/>
      <w:r w:rsidRPr="00B071B9">
        <w:rPr>
          <w:rFonts w:asciiTheme="majorHAnsi" w:hAnsiTheme="majorHAnsi" w:cs="Tahoma"/>
          <w:bCs/>
          <w:sz w:val="24"/>
          <w:szCs w:val="24"/>
        </w:rPr>
        <w:t>će</w:t>
      </w:r>
      <w:proofErr w:type="gramEnd"/>
      <w:r w:rsidRPr="00B071B9">
        <w:rPr>
          <w:rFonts w:asciiTheme="majorHAnsi" w:hAnsiTheme="majorHAnsi" w:cs="Tahoma"/>
          <w:bCs/>
          <w:sz w:val="24"/>
          <w:szCs w:val="24"/>
        </w:rPr>
        <w:t xml:space="preserve"> mu se utvrditi u jednokratnom iznosu.</w:t>
      </w:r>
      <w:bookmarkEnd w:id="1"/>
      <w:r w:rsidRPr="00B071B9">
        <w:rPr>
          <w:rFonts w:asciiTheme="majorHAnsi" w:hAnsiTheme="majorHAnsi" w:cs="Tahoma"/>
          <w:bCs/>
          <w:sz w:val="24"/>
          <w:szCs w:val="24"/>
        </w:rPr>
        <w:t xml:space="preserve"> </w:t>
      </w:r>
    </w:p>
    <w:p w:rsidR="00B658FB" w:rsidRPr="00B071B9" w:rsidRDefault="00B658FB" w:rsidP="00B071B9">
      <w:pPr>
        <w:widowControl w:val="0"/>
        <w:jc w:val="both"/>
        <w:rPr>
          <w:rFonts w:asciiTheme="majorHAnsi" w:hAnsiTheme="majorHAnsi" w:cs="Tahoma"/>
          <w:sz w:val="24"/>
          <w:szCs w:val="24"/>
        </w:rPr>
      </w:pPr>
    </w:p>
    <w:p w:rsidR="008D1984" w:rsidRPr="00B071B9" w:rsidRDefault="008D1984" w:rsidP="00B071B9">
      <w:pPr>
        <w:widowControl w:val="0"/>
        <w:jc w:val="both"/>
        <w:rPr>
          <w:rFonts w:asciiTheme="majorHAnsi" w:hAnsiTheme="majorHAnsi" w:cs="Tahoma"/>
          <w:sz w:val="24"/>
          <w:szCs w:val="24"/>
        </w:rPr>
      </w:pPr>
      <w:proofErr w:type="gramStart"/>
      <w:r w:rsidRPr="00B071B9">
        <w:rPr>
          <w:rFonts w:asciiTheme="majorHAnsi" w:hAnsiTheme="majorHAnsi" w:cs="Tahoma"/>
          <w:b/>
          <w:sz w:val="24"/>
          <w:szCs w:val="24"/>
        </w:rPr>
        <w:t>Članom 1</w:t>
      </w:r>
      <w:r w:rsidR="0001679E" w:rsidRPr="00B071B9">
        <w:rPr>
          <w:rFonts w:asciiTheme="majorHAnsi" w:hAnsiTheme="majorHAnsi" w:cs="Tahoma"/>
          <w:b/>
          <w:sz w:val="24"/>
          <w:szCs w:val="24"/>
        </w:rPr>
        <w:t>3</w:t>
      </w:r>
      <w:r w:rsidRPr="00B071B9">
        <w:rPr>
          <w:rFonts w:asciiTheme="majorHAnsi" w:hAnsiTheme="majorHAnsi" w:cs="Tahoma"/>
          <w:b/>
          <w:sz w:val="24"/>
          <w:szCs w:val="24"/>
        </w:rPr>
        <w:t xml:space="preserve"> </w:t>
      </w:r>
      <w:r w:rsidRPr="00B071B9">
        <w:rPr>
          <w:rFonts w:asciiTheme="majorHAnsi" w:hAnsiTheme="majorHAnsi" w:cs="Tahoma"/>
          <w:sz w:val="24"/>
          <w:szCs w:val="24"/>
        </w:rPr>
        <w:t>utvrđuju se redovna i zatezna kamata i odgovarajuća sredstva obezbjeđenja plaćanja.</w:t>
      </w:r>
      <w:proofErr w:type="gramEnd"/>
      <w:r w:rsidRPr="00B071B9">
        <w:rPr>
          <w:rFonts w:asciiTheme="majorHAnsi" w:hAnsiTheme="majorHAnsi" w:cs="Tahoma"/>
          <w:sz w:val="24"/>
          <w:szCs w:val="24"/>
        </w:rPr>
        <w:t xml:space="preserve"> </w:t>
      </w:r>
    </w:p>
    <w:p w:rsidR="008D1984" w:rsidRPr="00B071B9" w:rsidRDefault="008D1984" w:rsidP="00B071B9">
      <w:pPr>
        <w:widowControl w:val="0"/>
        <w:jc w:val="both"/>
        <w:rPr>
          <w:rFonts w:asciiTheme="majorHAnsi" w:hAnsiTheme="majorHAnsi" w:cs="Tahoma"/>
          <w:sz w:val="24"/>
          <w:szCs w:val="24"/>
        </w:rPr>
      </w:pPr>
    </w:p>
    <w:p w:rsidR="008D1984" w:rsidRPr="00B071B9" w:rsidRDefault="008D1984" w:rsidP="00B071B9">
      <w:pPr>
        <w:widowControl w:val="0"/>
        <w:jc w:val="both"/>
        <w:rPr>
          <w:rFonts w:asciiTheme="majorHAnsi" w:hAnsiTheme="majorHAnsi" w:cs="Tahoma"/>
          <w:sz w:val="24"/>
          <w:szCs w:val="24"/>
        </w:rPr>
      </w:pPr>
      <w:r w:rsidRPr="00B071B9">
        <w:rPr>
          <w:rFonts w:asciiTheme="majorHAnsi" w:hAnsiTheme="majorHAnsi" w:cs="Tahoma"/>
          <w:b/>
          <w:sz w:val="24"/>
          <w:szCs w:val="24"/>
        </w:rPr>
        <w:t>Članom 1</w:t>
      </w:r>
      <w:r w:rsidR="0001679E" w:rsidRPr="00B071B9">
        <w:rPr>
          <w:rFonts w:asciiTheme="majorHAnsi" w:hAnsiTheme="majorHAnsi" w:cs="Tahoma"/>
          <w:b/>
          <w:sz w:val="24"/>
          <w:szCs w:val="24"/>
        </w:rPr>
        <w:t>4</w:t>
      </w:r>
      <w:r w:rsidRPr="00B071B9">
        <w:rPr>
          <w:rFonts w:asciiTheme="majorHAnsi" w:hAnsiTheme="majorHAnsi" w:cs="Tahoma"/>
          <w:b/>
          <w:sz w:val="24"/>
          <w:szCs w:val="24"/>
        </w:rPr>
        <w:t xml:space="preserve"> </w:t>
      </w:r>
      <w:r w:rsidRPr="00B071B9">
        <w:rPr>
          <w:rFonts w:asciiTheme="majorHAnsi" w:hAnsiTheme="majorHAnsi" w:cs="Tahoma"/>
          <w:sz w:val="24"/>
          <w:szCs w:val="24"/>
        </w:rPr>
        <w:t xml:space="preserve">Dinamika poslova </w:t>
      </w:r>
      <w:proofErr w:type="gramStart"/>
      <w:r w:rsidRPr="00B071B9">
        <w:rPr>
          <w:rFonts w:asciiTheme="majorHAnsi" w:hAnsiTheme="majorHAnsi" w:cs="Tahoma"/>
          <w:sz w:val="24"/>
          <w:szCs w:val="24"/>
        </w:rPr>
        <w:t>na</w:t>
      </w:r>
      <w:proofErr w:type="gramEnd"/>
      <w:r w:rsidRPr="00B071B9">
        <w:rPr>
          <w:rFonts w:asciiTheme="majorHAnsi" w:hAnsiTheme="majorHAnsi" w:cs="Tahoma"/>
          <w:sz w:val="24"/>
          <w:szCs w:val="24"/>
        </w:rPr>
        <w:t xml:space="preserve"> urbanoj sanaciji zavisi od stepena naplate i iznosa naplaćenih sredstava od naknade za urbanu sanaciju i drugih izvora u skladu sa zakonom, te stepena opremljenosti zone za koju je naknada ubrana, što se mora procjenjivati za svaki slučaj, te za </w:t>
      </w:r>
      <w:r w:rsidRPr="00B071B9">
        <w:rPr>
          <w:rFonts w:asciiTheme="majorHAnsi" w:hAnsiTheme="majorHAnsi" w:cs="Tahoma"/>
          <w:sz w:val="24"/>
          <w:szCs w:val="24"/>
        </w:rPr>
        <w:lastRenderedPageBreak/>
        <w:t xml:space="preserve">svaku zonu ponaosob. </w:t>
      </w:r>
      <w:proofErr w:type="gramStart"/>
      <w:r w:rsidRPr="00B071B9">
        <w:rPr>
          <w:rFonts w:asciiTheme="majorHAnsi" w:hAnsiTheme="majorHAnsi" w:cs="Tahoma"/>
          <w:sz w:val="24"/>
          <w:szCs w:val="24"/>
        </w:rPr>
        <w:t>Imajući to u vidu, odlukom nije moguće predvidjeti tačno određene rokove za obezbjeđivanje komunalnog opremanja nedostajućom komunalnom infrastrukturom.</w:t>
      </w:r>
      <w:proofErr w:type="gramEnd"/>
      <w:r w:rsidRPr="00B071B9">
        <w:rPr>
          <w:rFonts w:asciiTheme="majorHAnsi" w:hAnsiTheme="majorHAnsi" w:cs="Tahoma"/>
          <w:sz w:val="24"/>
          <w:szCs w:val="24"/>
        </w:rPr>
        <w:t xml:space="preserve"> </w:t>
      </w:r>
      <w:proofErr w:type="gramStart"/>
      <w:r w:rsidRPr="00B071B9">
        <w:rPr>
          <w:rFonts w:asciiTheme="majorHAnsi" w:hAnsiTheme="majorHAnsi" w:cs="Tahoma"/>
          <w:sz w:val="24"/>
          <w:szCs w:val="24"/>
        </w:rPr>
        <w:t>Sa</w:t>
      </w:r>
      <w:proofErr w:type="gramEnd"/>
      <w:r w:rsidRPr="00B071B9">
        <w:rPr>
          <w:rFonts w:asciiTheme="majorHAnsi" w:hAnsiTheme="majorHAnsi" w:cs="Tahoma"/>
          <w:sz w:val="24"/>
          <w:szCs w:val="24"/>
        </w:rPr>
        <w:t xml:space="preserve"> druge strane, postoji obaveza da se urbano saniraju zone i lokacije za koje je plaćena naknada. Sagledavajući sve okolnosti, pojedinačno i sveobuhvatno, predloženo je da se rokovi za obezbjeđivanje komunalnog opremanja utvrđuju Programom urbane sanacije, a u skladu </w:t>
      </w:r>
      <w:proofErr w:type="gramStart"/>
      <w:r w:rsidRPr="00B071B9">
        <w:rPr>
          <w:rFonts w:asciiTheme="majorHAnsi" w:hAnsiTheme="majorHAnsi" w:cs="Tahoma"/>
          <w:sz w:val="24"/>
          <w:szCs w:val="24"/>
        </w:rPr>
        <w:t>sa</w:t>
      </w:r>
      <w:proofErr w:type="gramEnd"/>
      <w:r w:rsidRPr="00B071B9">
        <w:rPr>
          <w:rFonts w:asciiTheme="majorHAnsi" w:hAnsiTheme="majorHAnsi" w:cs="Tahoma"/>
          <w:sz w:val="24"/>
          <w:szCs w:val="24"/>
        </w:rPr>
        <w:t xml:space="preserve"> članom </w:t>
      </w:r>
      <w:r w:rsidR="00B658FB" w:rsidRPr="00B071B9">
        <w:rPr>
          <w:rFonts w:asciiTheme="majorHAnsi" w:hAnsiTheme="majorHAnsi" w:cs="Tahoma"/>
          <w:sz w:val="24"/>
          <w:szCs w:val="24"/>
        </w:rPr>
        <w:t>24</w:t>
      </w:r>
      <w:r w:rsidRPr="00B071B9">
        <w:rPr>
          <w:rFonts w:asciiTheme="majorHAnsi" w:hAnsiTheme="majorHAnsi" w:cs="Tahoma"/>
          <w:sz w:val="24"/>
          <w:szCs w:val="24"/>
        </w:rPr>
        <w:t xml:space="preserve"> Zakona. </w:t>
      </w:r>
    </w:p>
    <w:p w:rsidR="008D1984" w:rsidRPr="00B071B9" w:rsidRDefault="008D1984" w:rsidP="00B071B9">
      <w:pPr>
        <w:widowControl w:val="0"/>
        <w:jc w:val="both"/>
        <w:rPr>
          <w:rFonts w:asciiTheme="majorHAnsi" w:hAnsiTheme="majorHAnsi" w:cs="Tahoma"/>
          <w:b/>
          <w:sz w:val="24"/>
          <w:szCs w:val="24"/>
        </w:rPr>
      </w:pPr>
    </w:p>
    <w:p w:rsidR="008D1984" w:rsidRPr="00B071B9" w:rsidRDefault="008D1984" w:rsidP="00B071B9">
      <w:pPr>
        <w:widowControl w:val="0"/>
        <w:jc w:val="both"/>
        <w:rPr>
          <w:rFonts w:asciiTheme="majorHAnsi" w:hAnsiTheme="majorHAnsi" w:cs="Tahoma"/>
          <w:sz w:val="24"/>
          <w:szCs w:val="24"/>
        </w:rPr>
      </w:pPr>
      <w:r w:rsidRPr="00B071B9">
        <w:rPr>
          <w:rFonts w:asciiTheme="majorHAnsi" w:hAnsiTheme="majorHAnsi" w:cs="Tahoma"/>
          <w:b/>
          <w:sz w:val="24"/>
          <w:szCs w:val="24"/>
        </w:rPr>
        <w:t>Članom 1</w:t>
      </w:r>
      <w:r w:rsidR="0001679E" w:rsidRPr="00B071B9">
        <w:rPr>
          <w:rFonts w:asciiTheme="majorHAnsi" w:hAnsiTheme="majorHAnsi" w:cs="Tahoma"/>
          <w:b/>
          <w:sz w:val="24"/>
          <w:szCs w:val="24"/>
        </w:rPr>
        <w:t>5</w:t>
      </w:r>
      <w:r w:rsidRPr="00B071B9">
        <w:rPr>
          <w:rFonts w:asciiTheme="majorHAnsi" w:hAnsiTheme="majorHAnsi" w:cs="Tahoma"/>
          <w:sz w:val="24"/>
          <w:szCs w:val="24"/>
        </w:rPr>
        <w:t xml:space="preserve"> utvrđeno je da nadzor </w:t>
      </w:r>
      <w:proofErr w:type="gramStart"/>
      <w:r w:rsidRPr="00B071B9">
        <w:rPr>
          <w:rFonts w:asciiTheme="majorHAnsi" w:hAnsiTheme="majorHAnsi" w:cs="Tahoma"/>
          <w:sz w:val="24"/>
          <w:szCs w:val="24"/>
        </w:rPr>
        <w:t>nad</w:t>
      </w:r>
      <w:proofErr w:type="gramEnd"/>
      <w:r w:rsidRPr="00B071B9">
        <w:rPr>
          <w:rFonts w:asciiTheme="majorHAnsi" w:hAnsiTheme="majorHAnsi" w:cs="Tahoma"/>
          <w:sz w:val="24"/>
          <w:szCs w:val="24"/>
        </w:rPr>
        <w:t xml:space="preserve"> sprovođenjem ove odluke vrši organ nadlež</w:t>
      </w:r>
      <w:r w:rsidR="00B658FB" w:rsidRPr="00B071B9">
        <w:rPr>
          <w:rFonts w:asciiTheme="majorHAnsi" w:hAnsiTheme="majorHAnsi" w:cs="Tahoma"/>
          <w:sz w:val="24"/>
          <w:szCs w:val="24"/>
        </w:rPr>
        <w:t>a</w:t>
      </w:r>
      <w:r w:rsidRPr="00B071B9">
        <w:rPr>
          <w:rFonts w:asciiTheme="majorHAnsi" w:hAnsiTheme="majorHAnsi" w:cs="Tahoma"/>
          <w:sz w:val="24"/>
          <w:szCs w:val="24"/>
        </w:rPr>
        <w:t xml:space="preserve">n </w:t>
      </w:r>
      <w:r w:rsidR="00B658FB" w:rsidRPr="00B071B9">
        <w:rPr>
          <w:rFonts w:asciiTheme="majorHAnsi" w:hAnsiTheme="majorHAnsi" w:cs="Tahoma"/>
          <w:sz w:val="24"/>
          <w:szCs w:val="24"/>
        </w:rPr>
        <w:t>za izdavanje rješenja o legalizaciji</w:t>
      </w:r>
      <w:r w:rsidRPr="00B071B9">
        <w:rPr>
          <w:rFonts w:asciiTheme="majorHAnsi" w:hAnsiTheme="majorHAnsi" w:cs="Tahoma"/>
          <w:sz w:val="24"/>
          <w:szCs w:val="24"/>
        </w:rPr>
        <w:t>.</w:t>
      </w:r>
    </w:p>
    <w:p w:rsidR="008D1984" w:rsidRPr="00B071B9" w:rsidRDefault="008D1984" w:rsidP="00B071B9">
      <w:pPr>
        <w:widowControl w:val="0"/>
        <w:jc w:val="both"/>
        <w:rPr>
          <w:rFonts w:asciiTheme="majorHAnsi" w:hAnsiTheme="majorHAnsi" w:cs="Tahoma"/>
          <w:sz w:val="24"/>
          <w:szCs w:val="24"/>
        </w:rPr>
      </w:pPr>
    </w:p>
    <w:p w:rsidR="00B658FB" w:rsidRPr="00B071B9" w:rsidRDefault="008D1984" w:rsidP="00B071B9">
      <w:pPr>
        <w:widowControl w:val="0"/>
        <w:jc w:val="both"/>
        <w:rPr>
          <w:rFonts w:asciiTheme="majorHAnsi" w:hAnsiTheme="majorHAnsi" w:cs="Tahoma"/>
          <w:sz w:val="24"/>
          <w:szCs w:val="24"/>
        </w:rPr>
      </w:pPr>
      <w:r w:rsidRPr="00B071B9">
        <w:rPr>
          <w:rFonts w:asciiTheme="majorHAnsi" w:hAnsiTheme="majorHAnsi" w:cs="Tahoma"/>
          <w:b/>
          <w:sz w:val="24"/>
          <w:szCs w:val="24"/>
        </w:rPr>
        <w:t>Poglavlje IV – Prelazne i završne odredbe – Članom 1</w:t>
      </w:r>
      <w:r w:rsidR="0001679E" w:rsidRPr="00B071B9">
        <w:rPr>
          <w:rFonts w:asciiTheme="majorHAnsi" w:hAnsiTheme="majorHAnsi" w:cs="Tahoma"/>
          <w:b/>
          <w:sz w:val="24"/>
          <w:szCs w:val="24"/>
        </w:rPr>
        <w:t>6</w:t>
      </w:r>
      <w:r w:rsidRPr="00B071B9">
        <w:rPr>
          <w:rFonts w:asciiTheme="majorHAnsi" w:hAnsiTheme="majorHAnsi" w:cs="Tahoma"/>
          <w:b/>
          <w:sz w:val="24"/>
          <w:szCs w:val="24"/>
        </w:rPr>
        <w:t xml:space="preserve"> </w:t>
      </w:r>
      <w:r w:rsidRPr="00B071B9">
        <w:rPr>
          <w:rFonts w:asciiTheme="majorHAnsi" w:hAnsiTheme="majorHAnsi" w:cs="Tahoma"/>
          <w:sz w:val="24"/>
          <w:szCs w:val="24"/>
        </w:rPr>
        <w:t xml:space="preserve">je predloženo da se postupci u kojima je </w:t>
      </w:r>
      <w:r w:rsidR="00B658FB" w:rsidRPr="00B071B9">
        <w:rPr>
          <w:rFonts w:asciiTheme="majorHAnsi" w:eastAsia="Times New Roman" w:hAnsiTheme="majorHAnsi"/>
          <w:sz w:val="24"/>
          <w:szCs w:val="24"/>
        </w:rPr>
        <w:t>vlasnik bespravnog objekta podnio zahtjev za legalizaciju bespravnog objekta ili dijela objekta organu nadležnom za izdavanje rješenja o legalizaciji okončaju po odredbama Odluke o naknadi za urbanu sanaciju (''Sl.list Crne Gore – opštinski propisi'', broj 039/20)</w:t>
      </w:r>
      <w:r w:rsidR="00FE6CB4" w:rsidRPr="00B071B9">
        <w:rPr>
          <w:rFonts w:asciiTheme="majorHAnsi" w:eastAsia="Times New Roman" w:hAnsiTheme="majorHAnsi"/>
          <w:sz w:val="24"/>
          <w:szCs w:val="24"/>
        </w:rPr>
        <w:t xml:space="preserve">, ukoliko je to povoljnije za vlasnika bespravnog objekta </w:t>
      </w:r>
      <w:r w:rsidRPr="00B071B9">
        <w:rPr>
          <w:rFonts w:asciiTheme="majorHAnsi" w:hAnsiTheme="majorHAnsi" w:cs="Tahoma"/>
          <w:sz w:val="24"/>
          <w:szCs w:val="24"/>
        </w:rPr>
        <w:t xml:space="preserve">. </w:t>
      </w:r>
    </w:p>
    <w:p w:rsidR="00B658FB" w:rsidRPr="00B071B9" w:rsidRDefault="00B658FB" w:rsidP="00B071B9">
      <w:pPr>
        <w:widowControl w:val="0"/>
        <w:jc w:val="both"/>
        <w:rPr>
          <w:rFonts w:asciiTheme="majorHAnsi" w:hAnsiTheme="majorHAnsi" w:cs="Tahoma"/>
          <w:sz w:val="24"/>
          <w:szCs w:val="24"/>
        </w:rPr>
      </w:pPr>
    </w:p>
    <w:p w:rsidR="008D1984" w:rsidRPr="00B071B9" w:rsidRDefault="008D1984" w:rsidP="00B071B9">
      <w:pPr>
        <w:widowControl w:val="0"/>
        <w:jc w:val="both"/>
        <w:rPr>
          <w:rFonts w:asciiTheme="majorHAnsi" w:hAnsiTheme="majorHAnsi" w:cs="Tahoma"/>
          <w:sz w:val="24"/>
          <w:szCs w:val="24"/>
        </w:rPr>
      </w:pPr>
      <w:r w:rsidRPr="00B071B9">
        <w:rPr>
          <w:rFonts w:asciiTheme="majorHAnsi" w:hAnsiTheme="majorHAnsi" w:cs="Tahoma"/>
          <w:b/>
          <w:sz w:val="24"/>
          <w:szCs w:val="24"/>
        </w:rPr>
        <w:t>Članovima 1</w:t>
      </w:r>
      <w:r w:rsidR="0001679E" w:rsidRPr="00B071B9">
        <w:rPr>
          <w:rFonts w:asciiTheme="majorHAnsi" w:hAnsiTheme="majorHAnsi" w:cs="Tahoma"/>
          <w:b/>
          <w:sz w:val="24"/>
          <w:szCs w:val="24"/>
        </w:rPr>
        <w:t>7</w:t>
      </w:r>
      <w:r w:rsidRPr="00B071B9">
        <w:rPr>
          <w:rFonts w:asciiTheme="majorHAnsi" w:hAnsiTheme="majorHAnsi" w:cs="Tahoma"/>
          <w:b/>
          <w:sz w:val="24"/>
          <w:szCs w:val="24"/>
        </w:rPr>
        <w:t xml:space="preserve"> i 1</w:t>
      </w:r>
      <w:r w:rsidR="0001679E" w:rsidRPr="00B071B9">
        <w:rPr>
          <w:rFonts w:asciiTheme="majorHAnsi" w:hAnsiTheme="majorHAnsi" w:cs="Tahoma"/>
          <w:b/>
          <w:sz w:val="24"/>
          <w:szCs w:val="24"/>
        </w:rPr>
        <w:t>8</w:t>
      </w:r>
      <w:r w:rsidRPr="00B071B9">
        <w:rPr>
          <w:rFonts w:asciiTheme="majorHAnsi" w:hAnsiTheme="majorHAnsi" w:cs="Tahoma"/>
          <w:sz w:val="24"/>
          <w:szCs w:val="24"/>
        </w:rPr>
        <w:t xml:space="preserve"> je predloženo da odluka stupa </w:t>
      </w:r>
      <w:proofErr w:type="gramStart"/>
      <w:r w:rsidRPr="00B071B9">
        <w:rPr>
          <w:rFonts w:asciiTheme="majorHAnsi" w:hAnsiTheme="majorHAnsi" w:cs="Tahoma"/>
          <w:sz w:val="24"/>
          <w:szCs w:val="24"/>
        </w:rPr>
        <w:t>na</w:t>
      </w:r>
      <w:proofErr w:type="gramEnd"/>
      <w:r w:rsidRPr="00B071B9">
        <w:rPr>
          <w:rFonts w:asciiTheme="majorHAnsi" w:hAnsiTheme="majorHAnsi" w:cs="Tahoma"/>
          <w:sz w:val="24"/>
          <w:szCs w:val="24"/>
        </w:rPr>
        <w:t xml:space="preserve"> snagu osmog dana od dana objavljivanja u „Službenom listu Crne Gore - </w:t>
      </w:r>
      <w:r w:rsidR="00B658FB" w:rsidRPr="00B071B9">
        <w:rPr>
          <w:rFonts w:asciiTheme="majorHAnsi" w:hAnsiTheme="majorHAnsi" w:cs="Tahoma"/>
          <w:sz w:val="24"/>
          <w:szCs w:val="24"/>
        </w:rPr>
        <w:t>o</w:t>
      </w:r>
      <w:r w:rsidRPr="00B071B9">
        <w:rPr>
          <w:rFonts w:asciiTheme="majorHAnsi" w:hAnsiTheme="majorHAnsi" w:cs="Tahoma"/>
          <w:sz w:val="24"/>
          <w:szCs w:val="24"/>
        </w:rPr>
        <w:t>pštinski propisi“, dok će danom stup</w:t>
      </w:r>
      <w:r w:rsidR="00B658FB" w:rsidRPr="00B071B9">
        <w:rPr>
          <w:rFonts w:asciiTheme="majorHAnsi" w:hAnsiTheme="majorHAnsi" w:cs="Tahoma"/>
          <w:sz w:val="24"/>
          <w:szCs w:val="24"/>
        </w:rPr>
        <w:t>anja na snagu prestati da važi O</w:t>
      </w:r>
      <w:r w:rsidRPr="00B071B9">
        <w:rPr>
          <w:rFonts w:asciiTheme="majorHAnsi" w:hAnsiTheme="majorHAnsi" w:cs="Tahoma"/>
          <w:sz w:val="24"/>
          <w:szCs w:val="24"/>
        </w:rPr>
        <w:t xml:space="preserve">dluka </w:t>
      </w:r>
      <w:r w:rsidR="00B658FB" w:rsidRPr="00B071B9">
        <w:rPr>
          <w:rFonts w:asciiTheme="majorHAnsi" w:eastAsia="Times New Roman" w:hAnsiTheme="majorHAnsi"/>
          <w:sz w:val="24"/>
          <w:szCs w:val="24"/>
        </w:rPr>
        <w:t>o naknadi za urbanu sanaciju (''Sl.list Crne Gore – opštinski propisi'', broj 039/20)</w:t>
      </w:r>
      <w:r w:rsidRPr="00B071B9">
        <w:rPr>
          <w:rFonts w:asciiTheme="majorHAnsi" w:hAnsiTheme="majorHAnsi" w:cs="Tahoma"/>
          <w:sz w:val="24"/>
          <w:szCs w:val="24"/>
        </w:rPr>
        <w:t>.</w:t>
      </w:r>
    </w:p>
    <w:p w:rsidR="00A05A64" w:rsidRPr="00F5014C" w:rsidRDefault="00A05A64" w:rsidP="00F5014C">
      <w:pPr>
        <w:autoSpaceDE/>
        <w:autoSpaceDN/>
        <w:adjustRightInd/>
        <w:ind w:left="4248" w:hanging="4390"/>
        <w:jc w:val="center"/>
        <w:rPr>
          <w:rFonts w:asciiTheme="majorHAnsi" w:eastAsia="Times New Roman" w:hAnsiTheme="majorHAnsi" w:cs="Tahoma"/>
          <w:b/>
          <w:color w:val="auto"/>
          <w:sz w:val="24"/>
          <w:szCs w:val="24"/>
          <w:lang w:val="sr-Latn-CS" w:eastAsia="sr-Latn-CS"/>
        </w:rPr>
      </w:pPr>
    </w:p>
    <w:p w:rsidR="00A14F25" w:rsidRDefault="00A14F25" w:rsidP="00A14F25">
      <w:pPr>
        <w:widowControl w:val="0"/>
        <w:jc w:val="both"/>
        <w:rPr>
          <w:rStyle w:val="DefaultParagraphFont0"/>
          <w:rFonts w:ascii="Tahoma" w:hAnsi="Tahoma" w:cs="Tahoma"/>
          <w:sz w:val="22"/>
          <w:szCs w:val="22"/>
        </w:rPr>
      </w:pPr>
    </w:p>
    <w:p w:rsidR="008E7681" w:rsidRDefault="008E7681" w:rsidP="00A14F25">
      <w:pPr>
        <w:widowControl w:val="0"/>
        <w:jc w:val="both"/>
        <w:rPr>
          <w:rStyle w:val="DefaultParagraphFont0"/>
          <w:rFonts w:ascii="Tahoma" w:hAnsi="Tahoma" w:cs="Tahoma"/>
          <w:sz w:val="22"/>
          <w:szCs w:val="22"/>
        </w:rPr>
      </w:pPr>
    </w:p>
    <w:p w:rsidR="008E7681" w:rsidRDefault="008E7681" w:rsidP="00A14F25">
      <w:pPr>
        <w:widowControl w:val="0"/>
        <w:jc w:val="both"/>
        <w:rPr>
          <w:rStyle w:val="DefaultParagraphFont0"/>
          <w:rFonts w:ascii="Tahoma" w:hAnsi="Tahoma" w:cs="Tahoma"/>
          <w:sz w:val="22"/>
          <w:szCs w:val="22"/>
        </w:rPr>
      </w:pPr>
    </w:p>
    <w:p w:rsidR="00742AD4" w:rsidRDefault="00742AD4" w:rsidP="00A14F25">
      <w:pPr>
        <w:widowControl w:val="0"/>
        <w:jc w:val="both"/>
        <w:rPr>
          <w:rStyle w:val="DefaultParagraphFont0"/>
          <w:rFonts w:ascii="Tahoma" w:hAnsi="Tahoma" w:cs="Tahoma"/>
          <w:sz w:val="22"/>
          <w:szCs w:val="22"/>
        </w:rPr>
      </w:pPr>
      <w:bookmarkStart w:id="2" w:name="_GoBack"/>
      <w:bookmarkEnd w:id="2"/>
    </w:p>
    <w:sectPr w:rsidR="00742AD4" w:rsidSect="00594F14">
      <w:footerReference w:type="even" r:id="rId8"/>
      <w:footerReference w:type="default" r:id="rId9"/>
      <w:pgSz w:w="11906" w:h="16838"/>
      <w:pgMar w:top="1260" w:right="1106" w:bottom="1417" w:left="900" w:header="709" w:footer="709"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D23" w:rsidRDefault="00580D23" w:rsidP="00810421">
      <w:r>
        <w:separator/>
      </w:r>
    </w:p>
  </w:endnote>
  <w:endnote w:type="continuationSeparator" w:id="0">
    <w:p w:rsidR="00580D23" w:rsidRDefault="00580D23" w:rsidP="008104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2" w:type="dxa"/>
      <w:tblLayout w:type="fixed"/>
      <w:tblCellMar>
        <w:top w:w="40" w:type="dxa"/>
        <w:left w:w="0" w:type="dxa"/>
        <w:bottom w:w="40" w:type="dxa"/>
        <w:right w:w="0" w:type="dxa"/>
      </w:tblCellMar>
      <w:tblLook w:val="0000"/>
    </w:tblPr>
    <w:tblGrid>
      <w:gridCol w:w="5124"/>
      <w:gridCol w:w="5103"/>
    </w:tblGrid>
    <w:tr w:rsidR="00B658FB" w:rsidTr="00FA5252">
      <w:trPr>
        <w:cantSplit/>
        <w:trHeight w:val="240"/>
      </w:trPr>
      <w:tc>
        <w:tcPr>
          <w:tcW w:w="5124" w:type="dxa"/>
          <w:tcBorders>
            <w:top w:val="dotted" w:sz="4" w:space="0" w:color="000000"/>
            <w:left w:val="nil"/>
            <w:bottom w:val="nil"/>
            <w:right w:val="nil"/>
          </w:tcBorders>
          <w:shd w:val="clear" w:color="auto" w:fill="FFFFFF"/>
          <w:tcMar>
            <w:left w:w="68" w:type="dxa"/>
            <w:right w:w="68" w:type="dxa"/>
          </w:tcMar>
        </w:tcPr>
        <w:p w:rsidR="00B658FB" w:rsidRDefault="00B658FB">
          <w:pPr>
            <w:pStyle w:val="Fotter"/>
          </w:pPr>
        </w:p>
      </w:tc>
      <w:tc>
        <w:tcPr>
          <w:tcW w:w="5103" w:type="dxa"/>
          <w:tcBorders>
            <w:top w:val="dotted" w:sz="4" w:space="0" w:color="000000"/>
            <w:left w:val="nil"/>
            <w:bottom w:val="nil"/>
            <w:right w:val="nil"/>
          </w:tcBorders>
          <w:shd w:val="clear" w:color="auto" w:fill="FFFFFF"/>
          <w:tcMar>
            <w:left w:w="68" w:type="dxa"/>
            <w:right w:w="68" w:type="dxa"/>
          </w:tcMar>
        </w:tcPr>
        <w:p w:rsidR="00B658FB" w:rsidRDefault="00B658FB">
          <w:pPr>
            <w:pStyle w:val="Fotter"/>
            <w:jc w:val="right"/>
          </w:p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2358532"/>
      <w:docPartObj>
        <w:docPartGallery w:val="Page Numbers (Bottom of Page)"/>
        <w:docPartUnique/>
      </w:docPartObj>
    </w:sdtPr>
    <w:sdtContent>
      <w:p w:rsidR="00B658FB" w:rsidRDefault="00A21421">
        <w:pPr>
          <w:pStyle w:val="Footer"/>
          <w:jc w:val="right"/>
        </w:pPr>
        <w:r>
          <w:rPr>
            <w:noProof/>
          </w:rPr>
          <w:fldChar w:fldCharType="begin"/>
        </w:r>
        <w:r w:rsidR="00B658FB">
          <w:rPr>
            <w:noProof/>
          </w:rPr>
          <w:instrText xml:space="preserve"> PAGE   \* MERGEFORMAT </w:instrText>
        </w:r>
        <w:r>
          <w:rPr>
            <w:noProof/>
          </w:rPr>
          <w:fldChar w:fldCharType="separate"/>
        </w:r>
        <w:r w:rsidR="00B071B9">
          <w:rPr>
            <w:noProof/>
          </w:rPr>
          <w:t>9</w:t>
        </w:r>
        <w:r>
          <w:rPr>
            <w:noProof/>
          </w:rPr>
          <w:fldChar w:fldCharType="end"/>
        </w:r>
      </w:p>
    </w:sdtContent>
  </w:sdt>
  <w:p w:rsidR="00B658FB" w:rsidRDefault="00B658F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D23" w:rsidRDefault="00580D23" w:rsidP="00810421">
      <w:r>
        <w:separator/>
      </w:r>
    </w:p>
  </w:footnote>
  <w:footnote w:type="continuationSeparator" w:id="0">
    <w:p w:rsidR="00580D23" w:rsidRDefault="00580D23" w:rsidP="008104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24A6C"/>
    <w:multiLevelType w:val="hybridMultilevel"/>
    <w:tmpl w:val="DC6002F2"/>
    <w:lvl w:ilvl="0" w:tplc="04090001">
      <w:start w:val="1"/>
      <w:numFmt w:val="bullet"/>
      <w:lvlText w:val=""/>
      <w:lvlJc w:val="left"/>
      <w:pPr>
        <w:ind w:left="1185" w:hanging="360"/>
      </w:pPr>
      <w:rPr>
        <w:rFonts w:ascii="Symbol" w:hAnsi="Symbol" w:hint="default"/>
      </w:rPr>
    </w:lvl>
    <w:lvl w:ilvl="1" w:tplc="982EA820">
      <w:numFmt w:val="bullet"/>
      <w:lvlText w:val="-"/>
      <w:lvlJc w:val="left"/>
      <w:pPr>
        <w:ind w:left="1905" w:hanging="360"/>
      </w:pPr>
      <w:rPr>
        <w:rFonts w:ascii="Cambria" w:eastAsiaTheme="minorEastAsia" w:hAnsi="Cambria" w:cs="Times New Roman"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nsid w:val="204829DC"/>
    <w:multiLevelType w:val="hybridMultilevel"/>
    <w:tmpl w:val="1A54834C"/>
    <w:lvl w:ilvl="0" w:tplc="04090005">
      <w:start w:val="1"/>
      <w:numFmt w:val="bullet"/>
      <w:lvlText w:val=""/>
      <w:lvlJc w:val="left"/>
      <w:pPr>
        <w:ind w:left="1080" w:hanging="360"/>
      </w:pPr>
      <w:rPr>
        <w:rFonts w:ascii="Wingdings" w:hAnsi="Wingding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
    <w:nsid w:val="33271746"/>
    <w:multiLevelType w:val="hybridMultilevel"/>
    <w:tmpl w:val="122EE466"/>
    <w:lvl w:ilvl="0" w:tplc="A5320062">
      <w:numFmt w:val="bullet"/>
      <w:lvlText w:val="-"/>
      <w:lvlJc w:val="left"/>
      <w:pPr>
        <w:ind w:left="1080" w:hanging="360"/>
      </w:pPr>
      <w:rPr>
        <w:rFonts w:ascii="Tahoma" w:eastAsiaTheme="minorEastAsia"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5A2EB4"/>
    <w:multiLevelType w:val="hybridMultilevel"/>
    <w:tmpl w:val="2600449A"/>
    <w:lvl w:ilvl="0" w:tplc="34842C5C">
      <w:numFmt w:val="bullet"/>
      <w:lvlText w:val="-"/>
      <w:lvlJc w:val="left"/>
      <w:pPr>
        <w:ind w:left="1080" w:hanging="360"/>
      </w:pPr>
      <w:rPr>
        <w:rFonts w:ascii="Cambria" w:eastAsiaTheme="minorEastAsia"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731F59"/>
    <w:multiLevelType w:val="hybridMultilevel"/>
    <w:tmpl w:val="0DBE94E8"/>
    <w:lvl w:ilvl="0" w:tplc="46185C1C">
      <w:numFmt w:val="bullet"/>
      <w:lvlText w:val="-"/>
      <w:lvlJc w:val="left"/>
      <w:pPr>
        <w:ind w:left="1080" w:hanging="360"/>
      </w:pPr>
      <w:rPr>
        <w:rFonts w:ascii="Cambria" w:eastAsiaTheme="minorEastAsia" w:hAnsi="Cambria" w:cs="Tahoma"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A14F25"/>
    <w:rsid w:val="00004FA0"/>
    <w:rsid w:val="00013871"/>
    <w:rsid w:val="0001679E"/>
    <w:rsid w:val="00046CF4"/>
    <w:rsid w:val="00061856"/>
    <w:rsid w:val="00065549"/>
    <w:rsid w:val="00071D4A"/>
    <w:rsid w:val="000804F5"/>
    <w:rsid w:val="000815C6"/>
    <w:rsid w:val="000937E1"/>
    <w:rsid w:val="00094ACE"/>
    <w:rsid w:val="000B201E"/>
    <w:rsid w:val="000C2BE1"/>
    <w:rsid w:val="000E3C6C"/>
    <w:rsid w:val="000E4D4E"/>
    <w:rsid w:val="000F433F"/>
    <w:rsid w:val="001018F0"/>
    <w:rsid w:val="00101FE1"/>
    <w:rsid w:val="0012057E"/>
    <w:rsid w:val="00122C2A"/>
    <w:rsid w:val="00131E0B"/>
    <w:rsid w:val="00135573"/>
    <w:rsid w:val="001362FA"/>
    <w:rsid w:val="00155FC1"/>
    <w:rsid w:val="00161173"/>
    <w:rsid w:val="00182209"/>
    <w:rsid w:val="00182EB0"/>
    <w:rsid w:val="00185135"/>
    <w:rsid w:val="00185A6E"/>
    <w:rsid w:val="0019355F"/>
    <w:rsid w:val="001A2D6B"/>
    <w:rsid w:val="001F6758"/>
    <w:rsid w:val="00201832"/>
    <w:rsid w:val="002530C2"/>
    <w:rsid w:val="002735A9"/>
    <w:rsid w:val="00273F6D"/>
    <w:rsid w:val="00281DCB"/>
    <w:rsid w:val="0029022D"/>
    <w:rsid w:val="002928DE"/>
    <w:rsid w:val="002A259A"/>
    <w:rsid w:val="002B0EB8"/>
    <w:rsid w:val="002B254F"/>
    <w:rsid w:val="002E3001"/>
    <w:rsid w:val="002E5621"/>
    <w:rsid w:val="002F4C98"/>
    <w:rsid w:val="002F6A69"/>
    <w:rsid w:val="00304ED1"/>
    <w:rsid w:val="003217AE"/>
    <w:rsid w:val="00324A59"/>
    <w:rsid w:val="003326BF"/>
    <w:rsid w:val="0033472F"/>
    <w:rsid w:val="00381881"/>
    <w:rsid w:val="00381BB4"/>
    <w:rsid w:val="003941D1"/>
    <w:rsid w:val="003978BB"/>
    <w:rsid w:val="003A1760"/>
    <w:rsid w:val="003A18D0"/>
    <w:rsid w:val="003C33B7"/>
    <w:rsid w:val="003E7AD0"/>
    <w:rsid w:val="00406849"/>
    <w:rsid w:val="00412ABB"/>
    <w:rsid w:val="00412BA7"/>
    <w:rsid w:val="00426A3E"/>
    <w:rsid w:val="004557DC"/>
    <w:rsid w:val="00460021"/>
    <w:rsid w:val="00460931"/>
    <w:rsid w:val="00474727"/>
    <w:rsid w:val="00475933"/>
    <w:rsid w:val="00476531"/>
    <w:rsid w:val="0048604B"/>
    <w:rsid w:val="004A4C0F"/>
    <w:rsid w:val="004A6A59"/>
    <w:rsid w:val="004B3E88"/>
    <w:rsid w:val="004B7E94"/>
    <w:rsid w:val="004E4E97"/>
    <w:rsid w:val="004E5934"/>
    <w:rsid w:val="00526FCD"/>
    <w:rsid w:val="00531A9C"/>
    <w:rsid w:val="00534271"/>
    <w:rsid w:val="00554D4B"/>
    <w:rsid w:val="00576F66"/>
    <w:rsid w:val="00580D23"/>
    <w:rsid w:val="005846A7"/>
    <w:rsid w:val="00587CDA"/>
    <w:rsid w:val="00591C4C"/>
    <w:rsid w:val="00594F14"/>
    <w:rsid w:val="005C5986"/>
    <w:rsid w:val="005D7C44"/>
    <w:rsid w:val="00603B5A"/>
    <w:rsid w:val="00627438"/>
    <w:rsid w:val="0063725A"/>
    <w:rsid w:val="00640D8E"/>
    <w:rsid w:val="006570E2"/>
    <w:rsid w:val="00672834"/>
    <w:rsid w:val="006815DA"/>
    <w:rsid w:val="006866B2"/>
    <w:rsid w:val="00695EDA"/>
    <w:rsid w:val="006A16EB"/>
    <w:rsid w:val="006B30D7"/>
    <w:rsid w:val="006E4974"/>
    <w:rsid w:val="006F1419"/>
    <w:rsid w:val="0070463F"/>
    <w:rsid w:val="00705295"/>
    <w:rsid w:val="00721D95"/>
    <w:rsid w:val="00731F1F"/>
    <w:rsid w:val="00742AD4"/>
    <w:rsid w:val="0078053E"/>
    <w:rsid w:val="007A2338"/>
    <w:rsid w:val="007A621C"/>
    <w:rsid w:val="007A6716"/>
    <w:rsid w:val="007D6C38"/>
    <w:rsid w:val="007E0CFF"/>
    <w:rsid w:val="007E6320"/>
    <w:rsid w:val="007E6573"/>
    <w:rsid w:val="0080097C"/>
    <w:rsid w:val="00810421"/>
    <w:rsid w:val="008164E8"/>
    <w:rsid w:val="0082283B"/>
    <w:rsid w:val="00827272"/>
    <w:rsid w:val="00832622"/>
    <w:rsid w:val="00843D0E"/>
    <w:rsid w:val="00847AC5"/>
    <w:rsid w:val="00861B73"/>
    <w:rsid w:val="00884D90"/>
    <w:rsid w:val="00885E3A"/>
    <w:rsid w:val="00886B1A"/>
    <w:rsid w:val="008D1984"/>
    <w:rsid w:val="008E5FAF"/>
    <w:rsid w:val="008E6EB1"/>
    <w:rsid w:val="008E7681"/>
    <w:rsid w:val="00903728"/>
    <w:rsid w:val="00905088"/>
    <w:rsid w:val="009700CE"/>
    <w:rsid w:val="00995D2D"/>
    <w:rsid w:val="009A4974"/>
    <w:rsid w:val="009C23D1"/>
    <w:rsid w:val="009D0391"/>
    <w:rsid w:val="009D5B2E"/>
    <w:rsid w:val="009E2918"/>
    <w:rsid w:val="009E3487"/>
    <w:rsid w:val="009F2685"/>
    <w:rsid w:val="00A05A64"/>
    <w:rsid w:val="00A14F25"/>
    <w:rsid w:val="00A21421"/>
    <w:rsid w:val="00A42E4E"/>
    <w:rsid w:val="00A44584"/>
    <w:rsid w:val="00A465EF"/>
    <w:rsid w:val="00A601C9"/>
    <w:rsid w:val="00A67FFD"/>
    <w:rsid w:val="00A76836"/>
    <w:rsid w:val="00AC4AD5"/>
    <w:rsid w:val="00B05634"/>
    <w:rsid w:val="00B071B9"/>
    <w:rsid w:val="00B14657"/>
    <w:rsid w:val="00B147E6"/>
    <w:rsid w:val="00B21219"/>
    <w:rsid w:val="00B23495"/>
    <w:rsid w:val="00B47BC0"/>
    <w:rsid w:val="00B658FB"/>
    <w:rsid w:val="00B65CCD"/>
    <w:rsid w:val="00B65D28"/>
    <w:rsid w:val="00B84B24"/>
    <w:rsid w:val="00B9196F"/>
    <w:rsid w:val="00BD09E2"/>
    <w:rsid w:val="00C12942"/>
    <w:rsid w:val="00C314E0"/>
    <w:rsid w:val="00C34BDF"/>
    <w:rsid w:val="00C455C2"/>
    <w:rsid w:val="00C530B7"/>
    <w:rsid w:val="00C611C7"/>
    <w:rsid w:val="00C70B36"/>
    <w:rsid w:val="00C93568"/>
    <w:rsid w:val="00C96AE5"/>
    <w:rsid w:val="00CA18F7"/>
    <w:rsid w:val="00CA6222"/>
    <w:rsid w:val="00CB1BF7"/>
    <w:rsid w:val="00CC0CA6"/>
    <w:rsid w:val="00CE1D97"/>
    <w:rsid w:val="00CE5544"/>
    <w:rsid w:val="00D01AE9"/>
    <w:rsid w:val="00D13A00"/>
    <w:rsid w:val="00D4644B"/>
    <w:rsid w:val="00D571A9"/>
    <w:rsid w:val="00D7331A"/>
    <w:rsid w:val="00D97F71"/>
    <w:rsid w:val="00DF2D75"/>
    <w:rsid w:val="00E032E0"/>
    <w:rsid w:val="00E04C6B"/>
    <w:rsid w:val="00E1026C"/>
    <w:rsid w:val="00E60873"/>
    <w:rsid w:val="00ED55A9"/>
    <w:rsid w:val="00ED61B5"/>
    <w:rsid w:val="00EE210D"/>
    <w:rsid w:val="00EF2BE2"/>
    <w:rsid w:val="00EF3014"/>
    <w:rsid w:val="00EF3809"/>
    <w:rsid w:val="00EF6FC6"/>
    <w:rsid w:val="00EF7E27"/>
    <w:rsid w:val="00F10C25"/>
    <w:rsid w:val="00F14286"/>
    <w:rsid w:val="00F321A9"/>
    <w:rsid w:val="00F35DE7"/>
    <w:rsid w:val="00F40A47"/>
    <w:rsid w:val="00F411C0"/>
    <w:rsid w:val="00F5014C"/>
    <w:rsid w:val="00F659A9"/>
    <w:rsid w:val="00F65BB1"/>
    <w:rsid w:val="00F75C7C"/>
    <w:rsid w:val="00F7692D"/>
    <w:rsid w:val="00F95560"/>
    <w:rsid w:val="00F96339"/>
    <w:rsid w:val="00FA5166"/>
    <w:rsid w:val="00FA5252"/>
    <w:rsid w:val="00FC189A"/>
    <w:rsid w:val="00FD19FC"/>
    <w:rsid w:val="00FE0F66"/>
    <w:rsid w:val="00FE5EA3"/>
    <w:rsid w:val="00FE63C0"/>
    <w:rsid w:val="00FE6CB4"/>
    <w:rsid w:val="00FF1A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25"/>
    <w:pPr>
      <w:autoSpaceDE w:val="0"/>
      <w:autoSpaceDN w:val="0"/>
      <w:adjustRightInd w:val="0"/>
      <w:spacing w:after="0" w:line="240" w:lineRule="auto"/>
    </w:pPr>
    <w:rPr>
      <w:rFonts w:ascii="Times New Roman" w:eastAsiaTheme="minorEastAsia"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rsid w:val="00A14F25"/>
  </w:style>
  <w:style w:type="paragraph" w:customStyle="1" w:styleId="N03Y">
    <w:name w:val="N03Y"/>
    <w:basedOn w:val="Normal"/>
    <w:uiPriority w:val="99"/>
    <w:rsid w:val="00A14F25"/>
    <w:pPr>
      <w:spacing w:before="200" w:after="200"/>
      <w:jc w:val="center"/>
    </w:pPr>
    <w:rPr>
      <w:b/>
      <w:bCs/>
      <w:sz w:val="28"/>
      <w:szCs w:val="28"/>
    </w:rPr>
  </w:style>
  <w:style w:type="paragraph" w:customStyle="1" w:styleId="N01X">
    <w:name w:val="N01X"/>
    <w:basedOn w:val="Normal"/>
    <w:uiPriority w:val="99"/>
    <w:rsid w:val="00A14F25"/>
    <w:pPr>
      <w:spacing w:before="200" w:after="200"/>
      <w:jc w:val="center"/>
    </w:pPr>
    <w:rPr>
      <w:b/>
      <w:bCs/>
      <w:sz w:val="24"/>
      <w:szCs w:val="24"/>
    </w:rPr>
  </w:style>
  <w:style w:type="paragraph" w:customStyle="1" w:styleId="C30X">
    <w:name w:val="C30X"/>
    <w:basedOn w:val="Normal"/>
    <w:uiPriority w:val="99"/>
    <w:rsid w:val="00A14F25"/>
    <w:pPr>
      <w:spacing w:before="200" w:after="60"/>
      <w:jc w:val="center"/>
    </w:pPr>
    <w:rPr>
      <w:b/>
      <w:bCs/>
      <w:sz w:val="24"/>
      <w:szCs w:val="24"/>
    </w:rPr>
  </w:style>
  <w:style w:type="paragraph" w:customStyle="1" w:styleId="Fotter">
    <w:name w:val="Fotter"/>
    <w:basedOn w:val="Normal"/>
    <w:uiPriority w:val="99"/>
    <w:rsid w:val="00A14F25"/>
    <w:rPr>
      <w:rFonts w:ascii="Verdana" w:hAnsi="Verdana" w:cs="Verdana"/>
      <w:b/>
      <w:bCs/>
      <w:color w:val="4682B4"/>
      <w:sz w:val="18"/>
      <w:szCs w:val="18"/>
    </w:rPr>
  </w:style>
  <w:style w:type="paragraph" w:customStyle="1" w:styleId="N05Y">
    <w:name w:val="N05Y"/>
    <w:basedOn w:val="Normal"/>
    <w:uiPriority w:val="99"/>
    <w:rsid w:val="00A14F25"/>
    <w:pPr>
      <w:spacing w:before="60" w:after="200"/>
      <w:jc w:val="center"/>
    </w:pPr>
    <w:rPr>
      <w:b/>
      <w:bCs/>
      <w:sz w:val="24"/>
      <w:szCs w:val="24"/>
    </w:rPr>
  </w:style>
  <w:style w:type="paragraph" w:customStyle="1" w:styleId="T30X">
    <w:name w:val="T30X"/>
    <w:basedOn w:val="Normal"/>
    <w:uiPriority w:val="99"/>
    <w:rsid w:val="00A14F25"/>
    <w:pPr>
      <w:spacing w:before="60" w:after="60"/>
      <w:ind w:firstLine="283"/>
      <w:jc w:val="both"/>
    </w:pPr>
    <w:rPr>
      <w:sz w:val="22"/>
      <w:szCs w:val="22"/>
    </w:rPr>
  </w:style>
  <w:style w:type="paragraph" w:customStyle="1" w:styleId="TABELATE">
    <w:name w:val="TABELA_TE"/>
    <w:basedOn w:val="Normal"/>
    <w:uiPriority w:val="99"/>
    <w:rsid w:val="00A14F25"/>
    <w:pPr>
      <w:spacing w:before="60" w:after="60"/>
    </w:pPr>
    <w:rPr>
      <w:rFonts w:ascii="Courier New" w:hAnsi="Courier New" w:cs="Courier New"/>
      <w:sz w:val="16"/>
      <w:szCs w:val="16"/>
    </w:rPr>
  </w:style>
  <w:style w:type="paragraph" w:customStyle="1" w:styleId="T60X">
    <w:name w:val="T60X"/>
    <w:basedOn w:val="Normal"/>
    <w:uiPriority w:val="99"/>
    <w:rsid w:val="00A14F25"/>
    <w:pPr>
      <w:spacing w:before="60" w:after="60"/>
      <w:jc w:val="center"/>
    </w:pPr>
    <w:rPr>
      <w:i/>
      <w:iCs/>
      <w:sz w:val="22"/>
      <w:szCs w:val="22"/>
    </w:rPr>
  </w:style>
  <w:style w:type="paragraph" w:styleId="BalloonText">
    <w:name w:val="Balloon Text"/>
    <w:basedOn w:val="Normal"/>
    <w:link w:val="BalloonTextChar"/>
    <w:uiPriority w:val="99"/>
    <w:semiHidden/>
    <w:unhideWhenUsed/>
    <w:rsid w:val="00A14F25"/>
    <w:rPr>
      <w:rFonts w:ascii="Tahoma" w:hAnsi="Tahoma" w:cs="Tahoma"/>
      <w:sz w:val="16"/>
      <w:szCs w:val="16"/>
    </w:rPr>
  </w:style>
  <w:style w:type="character" w:customStyle="1" w:styleId="BalloonTextChar">
    <w:name w:val="Balloon Text Char"/>
    <w:basedOn w:val="DefaultParagraphFont"/>
    <w:link w:val="BalloonText"/>
    <w:uiPriority w:val="99"/>
    <w:semiHidden/>
    <w:rsid w:val="00A14F25"/>
    <w:rPr>
      <w:rFonts w:ascii="Tahoma" w:eastAsiaTheme="minorEastAsia" w:hAnsi="Tahoma" w:cs="Tahoma"/>
      <w:color w:val="000000"/>
      <w:sz w:val="16"/>
      <w:szCs w:val="16"/>
    </w:rPr>
  </w:style>
  <w:style w:type="character" w:styleId="CommentReference">
    <w:name w:val="annotation reference"/>
    <w:basedOn w:val="DefaultParagraphFont"/>
    <w:uiPriority w:val="99"/>
    <w:semiHidden/>
    <w:unhideWhenUsed/>
    <w:rsid w:val="00B65D28"/>
    <w:rPr>
      <w:sz w:val="16"/>
      <w:szCs w:val="16"/>
    </w:rPr>
  </w:style>
  <w:style w:type="paragraph" w:styleId="CommentText">
    <w:name w:val="annotation text"/>
    <w:basedOn w:val="Normal"/>
    <w:link w:val="CommentTextChar"/>
    <w:uiPriority w:val="99"/>
    <w:semiHidden/>
    <w:unhideWhenUsed/>
    <w:rsid w:val="00B65D28"/>
  </w:style>
  <w:style w:type="character" w:customStyle="1" w:styleId="CommentTextChar">
    <w:name w:val="Comment Text Char"/>
    <w:basedOn w:val="DefaultParagraphFont"/>
    <w:link w:val="CommentText"/>
    <w:uiPriority w:val="99"/>
    <w:semiHidden/>
    <w:rsid w:val="00B65D28"/>
    <w:rPr>
      <w:rFonts w:ascii="Times New Roman" w:eastAsiaTheme="minorEastAsia"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65D28"/>
    <w:rPr>
      <w:b/>
      <w:bCs/>
    </w:rPr>
  </w:style>
  <w:style w:type="character" w:customStyle="1" w:styleId="CommentSubjectChar">
    <w:name w:val="Comment Subject Char"/>
    <w:basedOn w:val="CommentTextChar"/>
    <w:link w:val="CommentSubject"/>
    <w:uiPriority w:val="99"/>
    <w:semiHidden/>
    <w:rsid w:val="00B65D28"/>
    <w:rPr>
      <w:rFonts w:ascii="Times New Roman" w:eastAsiaTheme="minorEastAsia" w:hAnsi="Times New Roman" w:cs="Times New Roman"/>
      <w:b/>
      <w:bCs/>
      <w:color w:val="000000"/>
      <w:sz w:val="20"/>
      <w:szCs w:val="20"/>
    </w:rPr>
  </w:style>
  <w:style w:type="paragraph" w:styleId="Header">
    <w:name w:val="header"/>
    <w:basedOn w:val="Normal"/>
    <w:link w:val="HeaderChar"/>
    <w:uiPriority w:val="99"/>
    <w:semiHidden/>
    <w:unhideWhenUsed/>
    <w:rsid w:val="003E7AD0"/>
    <w:pPr>
      <w:tabs>
        <w:tab w:val="center" w:pos="4680"/>
        <w:tab w:val="right" w:pos="9360"/>
      </w:tabs>
    </w:pPr>
  </w:style>
  <w:style w:type="character" w:customStyle="1" w:styleId="HeaderChar">
    <w:name w:val="Header Char"/>
    <w:basedOn w:val="DefaultParagraphFont"/>
    <w:link w:val="Header"/>
    <w:uiPriority w:val="99"/>
    <w:semiHidden/>
    <w:rsid w:val="003E7AD0"/>
    <w:rPr>
      <w:rFonts w:ascii="Times New Roman" w:eastAsiaTheme="minorEastAsia" w:hAnsi="Times New Roman" w:cs="Times New Roman"/>
      <w:color w:val="000000"/>
      <w:sz w:val="20"/>
      <w:szCs w:val="20"/>
    </w:rPr>
  </w:style>
  <w:style w:type="paragraph" w:styleId="Footer">
    <w:name w:val="footer"/>
    <w:basedOn w:val="Normal"/>
    <w:link w:val="FooterChar"/>
    <w:uiPriority w:val="99"/>
    <w:unhideWhenUsed/>
    <w:rsid w:val="003E7AD0"/>
    <w:pPr>
      <w:tabs>
        <w:tab w:val="center" w:pos="4680"/>
        <w:tab w:val="right" w:pos="9360"/>
      </w:tabs>
    </w:pPr>
  </w:style>
  <w:style w:type="character" w:customStyle="1" w:styleId="FooterChar">
    <w:name w:val="Footer Char"/>
    <w:basedOn w:val="DefaultParagraphFont"/>
    <w:link w:val="Footer"/>
    <w:uiPriority w:val="99"/>
    <w:rsid w:val="003E7AD0"/>
    <w:rPr>
      <w:rFonts w:ascii="Times New Roman" w:eastAsiaTheme="minorEastAsia" w:hAnsi="Times New Roman" w:cs="Times New Roman"/>
      <w:color w:val="000000"/>
      <w:sz w:val="20"/>
      <w:szCs w:val="20"/>
    </w:rPr>
  </w:style>
  <w:style w:type="paragraph" w:styleId="DocumentMap">
    <w:name w:val="Document Map"/>
    <w:basedOn w:val="Normal"/>
    <w:link w:val="DocumentMapChar"/>
    <w:uiPriority w:val="99"/>
    <w:semiHidden/>
    <w:unhideWhenUsed/>
    <w:rsid w:val="00182EB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82EB0"/>
    <w:rPr>
      <w:rFonts w:ascii="Segoe UI" w:eastAsiaTheme="minorEastAsia" w:hAnsi="Segoe UI" w:cs="Segoe UI"/>
      <w:color w:val="000000"/>
      <w:sz w:val="16"/>
      <w:szCs w:val="16"/>
    </w:rPr>
  </w:style>
  <w:style w:type="paragraph" w:customStyle="1" w:styleId="Heading3">
    <w:name w:val="Heading3"/>
    <w:basedOn w:val="Normal"/>
    <w:uiPriority w:val="99"/>
    <w:rsid w:val="00C70B36"/>
    <w:pPr>
      <w:outlineLvl w:val="2"/>
    </w:pPr>
  </w:style>
  <w:style w:type="table" w:styleId="TableGrid">
    <w:name w:val="Table Grid"/>
    <w:basedOn w:val="TableNormal"/>
    <w:uiPriority w:val="39"/>
    <w:rsid w:val="00594F14"/>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427E3D-96BC-4BBE-82D8-0C78ACA3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3457</Words>
  <Characters>19708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ggpg</Company>
  <LinksUpToDate>false</LinksUpToDate>
  <CharactersWithSpaces>23119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milica.bulatovic</dc:creator>
  <cp:lastModifiedBy>dejanmugosa</cp:lastModifiedBy>
  <cp:revision>9</cp:revision>
  <cp:lastPrinted>2026-03-20T12:23:00Z</cp:lastPrinted>
  <dcterms:created xsi:type="dcterms:W3CDTF">2026-02-12T08:14:00Z</dcterms:created>
  <dcterms:modified xsi:type="dcterms:W3CDTF">2026-03-20T12:23:00Z</dcterms:modified>
</cp:coreProperties>
</file>