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F7666C" w:rsidP="00AD30E8">
      <w:pPr>
        <w:pStyle w:val="Normal1"/>
        <w:keepNext/>
        <w:keepLines/>
        <w:spacing w:before="240" w:after="0"/>
        <w:jc w:val="center"/>
        <w:rPr>
          <w:rFonts w:ascii="Times New Roman" w:eastAsia="Times New Roman" w:hAnsi="Times New Roman" w:cs="Times New Roman"/>
          <w:sz w:val="32"/>
          <w:szCs w:val="24"/>
        </w:rPr>
      </w:pPr>
      <w:r>
        <w:rPr>
          <w:rFonts w:ascii="Times New Roman" w:eastAsia="Times New Roman" w:hAnsi="Times New Roman" w:cs="Times New Roman"/>
          <w:sz w:val="32"/>
          <w:szCs w:val="24"/>
        </w:rPr>
        <w:t>STRATEŠKI PLAN RAZVOJA GLAVNOG GRADA – PODGORICA 2026 - 2031</w:t>
      </w: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p w:rsidR="00E944C2" w:rsidRDefault="00F7666C" w:rsidP="00316155">
      <w:pPr>
        <w:pStyle w:val="Normal1"/>
        <w:keepNext/>
        <w:keepLines/>
        <w:spacing w:before="240"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SADRŽAJ</w:t>
      </w:r>
    </w:p>
    <w:p w:rsidR="00E944C2" w:rsidRDefault="00E944C2" w:rsidP="00316155">
      <w:pPr>
        <w:pStyle w:val="Normal1"/>
        <w:keepNext/>
        <w:keepLines/>
        <w:spacing w:before="240" w:after="0"/>
        <w:jc w:val="both"/>
        <w:rPr>
          <w:rFonts w:ascii="Times New Roman" w:eastAsia="Times New Roman" w:hAnsi="Times New Roman" w:cs="Times New Roman"/>
          <w:color w:val="2F5496"/>
          <w:sz w:val="24"/>
          <w:szCs w:val="24"/>
        </w:rPr>
      </w:pPr>
    </w:p>
    <w:sdt>
      <w:sdtPr>
        <w:id w:val="1060281092"/>
        <w:docPartObj>
          <w:docPartGallery w:val="Table of Contents"/>
          <w:docPartUnique/>
        </w:docPartObj>
      </w:sdtPr>
      <w:sdtContent>
        <w:p w:rsidR="00E944C2" w:rsidRDefault="00290C90" w:rsidP="00316155">
          <w:pPr>
            <w:pStyle w:val="TOC1"/>
            <w:tabs>
              <w:tab w:val="right" w:leader="dot" w:pos="9350"/>
            </w:tabs>
            <w:jc w:val="both"/>
            <w:rPr>
              <w:rFonts w:asciiTheme="minorHAnsi" w:eastAsiaTheme="minorEastAsia" w:hAnsiTheme="minorHAnsi" w:cstheme="minorBidi"/>
              <w:noProof/>
            </w:rPr>
          </w:pPr>
          <w:r>
            <w:fldChar w:fldCharType="begin"/>
          </w:r>
          <w:r w:rsidR="00F7666C">
            <w:instrText xml:space="preserve"> TOC \h \u \z \t "Heading 1,1,Heading 2,2,Heading 3,3,"</w:instrText>
          </w:r>
          <w:r>
            <w:fldChar w:fldCharType="separate"/>
          </w:r>
          <w:hyperlink w:anchor="_Toc212039490" w:history="1">
            <w:r w:rsidR="00F7666C">
              <w:rPr>
                <w:rStyle w:val="Hyperlink"/>
                <w:noProof/>
              </w:rPr>
              <w:t>1. UVOD</w:t>
            </w:r>
            <w:r w:rsidR="00F7666C">
              <w:rPr>
                <w:noProof/>
              </w:rPr>
              <w:tab/>
            </w:r>
            <w:r>
              <w:rPr>
                <w:noProof/>
              </w:rPr>
              <w:fldChar w:fldCharType="begin"/>
            </w:r>
            <w:r w:rsidR="00F7666C">
              <w:rPr>
                <w:noProof/>
              </w:rPr>
              <w:instrText xml:space="preserve"> PAGEREF _Toc212039490 \h </w:instrText>
            </w:r>
            <w:r>
              <w:rPr>
                <w:noProof/>
              </w:rPr>
            </w:r>
            <w:r>
              <w:rPr>
                <w:noProof/>
              </w:rPr>
              <w:fldChar w:fldCharType="separate"/>
            </w:r>
            <w:r w:rsidR="00945639">
              <w:rPr>
                <w:noProof/>
              </w:rPr>
              <w:t>6</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491" w:history="1">
            <w:r w:rsidR="00F7666C">
              <w:rPr>
                <w:rStyle w:val="Hyperlink"/>
                <w:noProof/>
              </w:rPr>
              <w:t>1.1. Analiza realizacije Strateškog plana razvoja Glavnog grada 2020-2025</w:t>
            </w:r>
            <w:r w:rsidR="00F7666C">
              <w:rPr>
                <w:noProof/>
              </w:rPr>
              <w:tab/>
            </w:r>
            <w:r>
              <w:rPr>
                <w:noProof/>
              </w:rPr>
              <w:fldChar w:fldCharType="begin"/>
            </w:r>
            <w:r w:rsidR="00F7666C">
              <w:rPr>
                <w:noProof/>
              </w:rPr>
              <w:instrText xml:space="preserve"> PAGEREF _Toc212039491 \h </w:instrText>
            </w:r>
            <w:r>
              <w:rPr>
                <w:noProof/>
              </w:rPr>
            </w:r>
            <w:r>
              <w:rPr>
                <w:noProof/>
              </w:rPr>
              <w:fldChar w:fldCharType="separate"/>
            </w:r>
            <w:r w:rsidR="00945639">
              <w:rPr>
                <w:noProof/>
              </w:rPr>
              <w:t>13</w:t>
            </w:r>
            <w:r>
              <w:rPr>
                <w:noProof/>
              </w:rPr>
              <w:fldChar w:fldCharType="end"/>
            </w:r>
          </w:hyperlink>
        </w:p>
        <w:p w:rsidR="00E944C2" w:rsidRDefault="00290C90" w:rsidP="00316155">
          <w:pPr>
            <w:pStyle w:val="TOC1"/>
            <w:tabs>
              <w:tab w:val="right" w:leader="dot" w:pos="9350"/>
            </w:tabs>
            <w:jc w:val="both"/>
            <w:rPr>
              <w:rFonts w:asciiTheme="minorHAnsi" w:eastAsiaTheme="minorEastAsia" w:hAnsiTheme="minorHAnsi" w:cstheme="minorBidi"/>
              <w:noProof/>
            </w:rPr>
          </w:pPr>
          <w:hyperlink w:anchor="_Toc212039492" w:history="1">
            <w:r w:rsidR="00F7666C">
              <w:rPr>
                <w:rStyle w:val="Hyperlink"/>
                <w:noProof/>
              </w:rPr>
              <w:t>2. ANALIZA TRENUTNOG STANJA I SWOT ANALIZA</w:t>
            </w:r>
            <w:r w:rsidR="00F7666C">
              <w:rPr>
                <w:noProof/>
              </w:rPr>
              <w:tab/>
            </w:r>
            <w:r>
              <w:rPr>
                <w:noProof/>
              </w:rPr>
              <w:fldChar w:fldCharType="begin"/>
            </w:r>
            <w:r w:rsidR="00F7666C">
              <w:rPr>
                <w:noProof/>
              </w:rPr>
              <w:instrText xml:space="preserve"> PAGEREF _Toc212039492 \h </w:instrText>
            </w:r>
            <w:r>
              <w:rPr>
                <w:noProof/>
              </w:rPr>
            </w:r>
            <w:r>
              <w:rPr>
                <w:noProof/>
              </w:rPr>
              <w:fldChar w:fldCharType="separate"/>
            </w:r>
            <w:r w:rsidR="00945639">
              <w:rPr>
                <w:noProof/>
              </w:rPr>
              <w:t>13</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493" w:history="1">
            <w:r w:rsidR="00F7666C">
              <w:rPr>
                <w:rStyle w:val="Hyperlink"/>
                <w:noProof/>
              </w:rPr>
              <w:t>2.1. Opšti podaci</w:t>
            </w:r>
            <w:r w:rsidR="00F7666C">
              <w:rPr>
                <w:noProof/>
              </w:rPr>
              <w:tab/>
            </w:r>
            <w:r>
              <w:rPr>
                <w:noProof/>
              </w:rPr>
              <w:fldChar w:fldCharType="begin"/>
            </w:r>
            <w:r w:rsidR="00F7666C">
              <w:rPr>
                <w:noProof/>
              </w:rPr>
              <w:instrText xml:space="preserve"> PAGEREF _Toc212039493 \h </w:instrText>
            </w:r>
            <w:r>
              <w:rPr>
                <w:noProof/>
              </w:rPr>
            </w:r>
            <w:r>
              <w:rPr>
                <w:noProof/>
              </w:rPr>
              <w:fldChar w:fldCharType="separate"/>
            </w:r>
            <w:r w:rsidR="00945639">
              <w:rPr>
                <w:noProof/>
              </w:rPr>
              <w:t>13</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494" w:history="1">
            <w:r w:rsidR="00F7666C">
              <w:rPr>
                <w:rStyle w:val="Hyperlink"/>
                <w:noProof/>
              </w:rPr>
              <w:t>2.1.1. Geografski položaj i prirodne karakteristike</w:t>
            </w:r>
            <w:r w:rsidR="00F7666C">
              <w:rPr>
                <w:noProof/>
              </w:rPr>
              <w:tab/>
            </w:r>
            <w:r>
              <w:rPr>
                <w:noProof/>
              </w:rPr>
              <w:fldChar w:fldCharType="begin"/>
            </w:r>
            <w:r w:rsidR="00F7666C">
              <w:rPr>
                <w:noProof/>
              </w:rPr>
              <w:instrText xml:space="preserve"> PAGEREF _Toc212039494 \h </w:instrText>
            </w:r>
            <w:r>
              <w:rPr>
                <w:noProof/>
              </w:rPr>
            </w:r>
            <w:r>
              <w:rPr>
                <w:noProof/>
              </w:rPr>
              <w:fldChar w:fldCharType="separate"/>
            </w:r>
            <w:r w:rsidR="00945639">
              <w:rPr>
                <w:noProof/>
              </w:rPr>
              <w:t>13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495" w:history="1">
            <w:r w:rsidR="00F7666C">
              <w:rPr>
                <w:rStyle w:val="Hyperlink"/>
                <w:noProof/>
              </w:rPr>
              <w:t>2.1.2. Klima</w:t>
            </w:r>
            <w:r w:rsidR="00F7666C">
              <w:rPr>
                <w:noProof/>
              </w:rPr>
              <w:tab/>
            </w:r>
            <w:r>
              <w:rPr>
                <w:noProof/>
              </w:rPr>
              <w:fldChar w:fldCharType="begin"/>
            </w:r>
            <w:r w:rsidR="00F7666C">
              <w:rPr>
                <w:noProof/>
              </w:rPr>
              <w:instrText xml:space="preserve"> PAGEREF _Toc212039495 \h </w:instrText>
            </w:r>
            <w:r>
              <w:rPr>
                <w:noProof/>
              </w:rPr>
            </w:r>
            <w:r>
              <w:rPr>
                <w:noProof/>
              </w:rPr>
              <w:fldChar w:fldCharType="separate"/>
            </w:r>
            <w:r w:rsidR="00945639">
              <w:rPr>
                <w:noProof/>
              </w:rPr>
              <w:t>14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496" w:history="1">
            <w:r w:rsidR="00F7666C">
              <w:rPr>
                <w:rStyle w:val="Hyperlink"/>
                <w:noProof/>
              </w:rPr>
              <w:t>2.1.3. Istorijski pregled</w:t>
            </w:r>
            <w:r w:rsidR="00F7666C">
              <w:rPr>
                <w:noProof/>
              </w:rPr>
              <w:tab/>
            </w:r>
            <w:r>
              <w:rPr>
                <w:noProof/>
              </w:rPr>
              <w:fldChar w:fldCharType="begin"/>
            </w:r>
            <w:r w:rsidR="00F7666C">
              <w:rPr>
                <w:noProof/>
              </w:rPr>
              <w:instrText xml:space="preserve"> PAGEREF _Toc212039496 \h </w:instrText>
            </w:r>
            <w:r>
              <w:rPr>
                <w:noProof/>
              </w:rPr>
            </w:r>
            <w:r>
              <w:rPr>
                <w:noProof/>
              </w:rPr>
              <w:fldChar w:fldCharType="separate"/>
            </w:r>
            <w:r w:rsidR="00945639">
              <w:rPr>
                <w:noProof/>
              </w:rPr>
              <w:t>14</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497" w:history="1">
            <w:r w:rsidR="00F7666C">
              <w:rPr>
                <w:rStyle w:val="Hyperlink"/>
                <w:noProof/>
              </w:rPr>
              <w:t>2.2.  Demografske karakteristike</w:t>
            </w:r>
            <w:r w:rsidR="00F7666C">
              <w:rPr>
                <w:noProof/>
              </w:rPr>
              <w:tab/>
            </w:r>
            <w:r>
              <w:rPr>
                <w:noProof/>
              </w:rPr>
              <w:fldChar w:fldCharType="begin"/>
            </w:r>
            <w:r w:rsidR="00F7666C">
              <w:rPr>
                <w:noProof/>
              </w:rPr>
              <w:instrText xml:space="preserve"> PAGEREF _Toc212039497 \h </w:instrText>
            </w:r>
            <w:r>
              <w:rPr>
                <w:noProof/>
              </w:rPr>
            </w:r>
            <w:r>
              <w:rPr>
                <w:noProof/>
              </w:rPr>
              <w:fldChar w:fldCharType="separate"/>
            </w:r>
            <w:r w:rsidR="00945639">
              <w:rPr>
                <w:noProof/>
              </w:rPr>
              <w:t>15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498" w:history="1">
            <w:r w:rsidR="00F7666C">
              <w:rPr>
                <w:rStyle w:val="Hyperlink"/>
                <w:noProof/>
              </w:rPr>
              <w:t>2.2.1. Populacija</w:t>
            </w:r>
            <w:r w:rsidR="00F7666C">
              <w:rPr>
                <w:noProof/>
              </w:rPr>
              <w:tab/>
            </w:r>
            <w:r>
              <w:rPr>
                <w:noProof/>
              </w:rPr>
              <w:fldChar w:fldCharType="begin"/>
            </w:r>
            <w:r w:rsidR="00F7666C">
              <w:rPr>
                <w:noProof/>
              </w:rPr>
              <w:instrText xml:space="preserve"> PAGEREF _Toc212039498 \h </w:instrText>
            </w:r>
            <w:r>
              <w:rPr>
                <w:noProof/>
              </w:rPr>
            </w:r>
            <w:r>
              <w:rPr>
                <w:noProof/>
              </w:rPr>
              <w:fldChar w:fldCharType="separate"/>
            </w:r>
            <w:r w:rsidR="00945639">
              <w:rPr>
                <w:noProof/>
              </w:rPr>
              <w:t>15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499" w:history="1">
            <w:r w:rsidR="00F7666C">
              <w:rPr>
                <w:rStyle w:val="Hyperlink"/>
                <w:noProof/>
              </w:rPr>
              <w:t>2.2.2. Starosna struktura</w:t>
            </w:r>
            <w:r w:rsidR="00F7666C">
              <w:rPr>
                <w:noProof/>
              </w:rPr>
              <w:tab/>
            </w:r>
            <w:r>
              <w:rPr>
                <w:noProof/>
              </w:rPr>
              <w:fldChar w:fldCharType="begin"/>
            </w:r>
            <w:r w:rsidR="00F7666C">
              <w:rPr>
                <w:noProof/>
              </w:rPr>
              <w:instrText xml:space="preserve"> PAGEREF _Toc212039499 \h </w:instrText>
            </w:r>
            <w:r>
              <w:rPr>
                <w:noProof/>
              </w:rPr>
            </w:r>
            <w:r>
              <w:rPr>
                <w:noProof/>
              </w:rPr>
              <w:fldChar w:fldCharType="separate"/>
            </w:r>
            <w:r w:rsidR="00945639">
              <w:rPr>
                <w:noProof/>
              </w:rPr>
              <w:t>15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00" w:history="1">
            <w:r w:rsidR="00F7666C">
              <w:rPr>
                <w:rStyle w:val="Hyperlink"/>
                <w:noProof/>
              </w:rPr>
              <w:t>2.2.3. Migracioni trendovi</w:t>
            </w:r>
            <w:r w:rsidR="00F7666C">
              <w:rPr>
                <w:noProof/>
              </w:rPr>
              <w:tab/>
            </w:r>
            <w:r>
              <w:rPr>
                <w:noProof/>
              </w:rPr>
              <w:fldChar w:fldCharType="begin"/>
            </w:r>
            <w:r w:rsidR="00F7666C">
              <w:rPr>
                <w:noProof/>
              </w:rPr>
              <w:instrText xml:space="preserve"> PAGEREF _Toc212039500 \h </w:instrText>
            </w:r>
            <w:r>
              <w:rPr>
                <w:noProof/>
              </w:rPr>
            </w:r>
            <w:r>
              <w:rPr>
                <w:noProof/>
              </w:rPr>
              <w:fldChar w:fldCharType="separate"/>
            </w:r>
            <w:r w:rsidR="00945639">
              <w:rPr>
                <w:noProof/>
              </w:rPr>
              <w:t>15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01" w:history="1">
            <w:r w:rsidR="00F7666C">
              <w:rPr>
                <w:rStyle w:val="Hyperlink"/>
                <w:noProof/>
              </w:rPr>
              <w:t>2.2.4. Obrazovna struktura</w:t>
            </w:r>
            <w:r w:rsidR="00F7666C">
              <w:rPr>
                <w:noProof/>
              </w:rPr>
              <w:tab/>
            </w:r>
            <w:r>
              <w:rPr>
                <w:noProof/>
              </w:rPr>
              <w:fldChar w:fldCharType="begin"/>
            </w:r>
            <w:r w:rsidR="00F7666C">
              <w:rPr>
                <w:noProof/>
              </w:rPr>
              <w:instrText xml:space="preserve"> PAGEREF _Toc212039501 \h </w:instrText>
            </w:r>
            <w:r>
              <w:rPr>
                <w:noProof/>
              </w:rPr>
            </w:r>
            <w:r>
              <w:rPr>
                <w:noProof/>
              </w:rPr>
              <w:fldChar w:fldCharType="separate"/>
            </w:r>
            <w:r w:rsidR="00945639">
              <w:rPr>
                <w:noProof/>
              </w:rPr>
              <w:t>15</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02" w:history="1">
            <w:r w:rsidR="00F7666C">
              <w:rPr>
                <w:rStyle w:val="Hyperlink"/>
                <w:noProof/>
              </w:rPr>
              <w:t>2.2.5. Natalitet i mortalitet</w:t>
            </w:r>
            <w:r w:rsidR="00F7666C">
              <w:rPr>
                <w:noProof/>
              </w:rPr>
              <w:tab/>
            </w:r>
            <w:r>
              <w:rPr>
                <w:noProof/>
              </w:rPr>
              <w:fldChar w:fldCharType="begin"/>
            </w:r>
            <w:r w:rsidR="00F7666C">
              <w:rPr>
                <w:noProof/>
              </w:rPr>
              <w:instrText xml:space="preserve"> PAGEREF _Toc212039502 \h </w:instrText>
            </w:r>
            <w:r>
              <w:rPr>
                <w:noProof/>
              </w:rPr>
            </w:r>
            <w:r>
              <w:rPr>
                <w:noProof/>
              </w:rPr>
              <w:fldChar w:fldCharType="separate"/>
            </w:r>
            <w:r w:rsidR="00945639">
              <w:rPr>
                <w:noProof/>
              </w:rPr>
              <w:t>15</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03" w:history="1">
            <w:r w:rsidR="00F7666C">
              <w:rPr>
                <w:rStyle w:val="Hyperlink"/>
                <w:noProof/>
              </w:rPr>
              <w:t>2.3. Ekonomski pregled</w:t>
            </w:r>
            <w:r w:rsidR="00F7666C">
              <w:rPr>
                <w:noProof/>
              </w:rPr>
              <w:tab/>
            </w:r>
            <w:r>
              <w:rPr>
                <w:noProof/>
              </w:rPr>
              <w:fldChar w:fldCharType="begin"/>
            </w:r>
            <w:r w:rsidR="00F7666C">
              <w:rPr>
                <w:noProof/>
              </w:rPr>
              <w:instrText xml:space="preserve"> PAGEREF _Toc212039503 \h </w:instrText>
            </w:r>
            <w:r>
              <w:rPr>
                <w:noProof/>
              </w:rPr>
            </w:r>
            <w:r>
              <w:rPr>
                <w:noProof/>
              </w:rPr>
              <w:fldChar w:fldCharType="separate"/>
            </w:r>
            <w:r w:rsidR="00945639">
              <w:rPr>
                <w:noProof/>
              </w:rPr>
              <w:t>16</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04" w:history="1">
            <w:r w:rsidR="00F7666C">
              <w:rPr>
                <w:rStyle w:val="Hyperlink"/>
                <w:noProof/>
              </w:rPr>
              <w:t>2.3.1.  Tržište rada i radne snage</w:t>
            </w:r>
            <w:r w:rsidR="00F7666C">
              <w:rPr>
                <w:noProof/>
              </w:rPr>
              <w:tab/>
            </w:r>
            <w:r>
              <w:rPr>
                <w:noProof/>
              </w:rPr>
              <w:fldChar w:fldCharType="begin"/>
            </w:r>
            <w:r w:rsidR="00F7666C">
              <w:rPr>
                <w:noProof/>
              </w:rPr>
              <w:instrText xml:space="preserve"> PAGEREF _Toc212039504 \h </w:instrText>
            </w:r>
            <w:r>
              <w:rPr>
                <w:noProof/>
              </w:rPr>
            </w:r>
            <w:r>
              <w:rPr>
                <w:noProof/>
              </w:rPr>
              <w:fldChar w:fldCharType="separate"/>
            </w:r>
            <w:r w:rsidR="00945639">
              <w:rPr>
                <w:noProof/>
              </w:rPr>
              <w:t>16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05" w:history="1">
            <w:r w:rsidR="00F7666C">
              <w:rPr>
                <w:rStyle w:val="Hyperlink"/>
                <w:noProof/>
              </w:rPr>
              <w:t>2.3.2. Tražnja za radnom snagom</w:t>
            </w:r>
            <w:r w:rsidR="00F7666C">
              <w:rPr>
                <w:noProof/>
              </w:rPr>
              <w:tab/>
            </w:r>
            <w:r>
              <w:rPr>
                <w:noProof/>
              </w:rPr>
              <w:fldChar w:fldCharType="begin"/>
            </w:r>
            <w:r w:rsidR="00F7666C">
              <w:rPr>
                <w:noProof/>
              </w:rPr>
              <w:instrText xml:space="preserve"> PAGEREF _Toc212039505 \h </w:instrText>
            </w:r>
            <w:r>
              <w:rPr>
                <w:noProof/>
              </w:rPr>
            </w:r>
            <w:r>
              <w:rPr>
                <w:noProof/>
              </w:rPr>
              <w:fldChar w:fldCharType="separate"/>
            </w:r>
            <w:r w:rsidR="00945639">
              <w:rPr>
                <w:noProof/>
              </w:rPr>
              <w:t>23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06" w:history="1">
            <w:r w:rsidR="00F7666C">
              <w:rPr>
                <w:rStyle w:val="Hyperlink"/>
                <w:noProof/>
              </w:rPr>
              <w:t>2.3.3. Stopa registrovane nezaposlenosti</w:t>
            </w:r>
            <w:r w:rsidR="00F7666C">
              <w:rPr>
                <w:noProof/>
              </w:rPr>
              <w:tab/>
            </w:r>
            <w:r>
              <w:rPr>
                <w:noProof/>
              </w:rPr>
              <w:fldChar w:fldCharType="begin"/>
            </w:r>
            <w:r w:rsidR="00F7666C">
              <w:rPr>
                <w:noProof/>
              </w:rPr>
              <w:instrText xml:space="preserve"> PAGEREF _Toc212039506 \h </w:instrText>
            </w:r>
            <w:r>
              <w:rPr>
                <w:noProof/>
              </w:rPr>
            </w:r>
            <w:r>
              <w:rPr>
                <w:noProof/>
              </w:rPr>
              <w:fldChar w:fldCharType="separate"/>
            </w:r>
            <w:r w:rsidR="00945639">
              <w:rPr>
                <w:noProof/>
              </w:rPr>
              <w:t>28</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07" w:history="1">
            <w:r w:rsidR="00F7666C">
              <w:rPr>
                <w:rStyle w:val="Hyperlink"/>
                <w:noProof/>
              </w:rPr>
              <w:t>2.4. Industrija i preduzetništvo</w:t>
            </w:r>
            <w:r w:rsidR="00F7666C">
              <w:rPr>
                <w:noProof/>
              </w:rPr>
              <w:tab/>
            </w:r>
            <w:r>
              <w:rPr>
                <w:noProof/>
              </w:rPr>
              <w:fldChar w:fldCharType="begin"/>
            </w:r>
            <w:r w:rsidR="00F7666C">
              <w:rPr>
                <w:noProof/>
              </w:rPr>
              <w:instrText xml:space="preserve"> PAGEREF _Toc212039507 \h </w:instrText>
            </w:r>
            <w:r>
              <w:rPr>
                <w:noProof/>
              </w:rPr>
            </w:r>
            <w:r>
              <w:rPr>
                <w:noProof/>
              </w:rPr>
              <w:fldChar w:fldCharType="separate"/>
            </w:r>
            <w:r w:rsidR="00945639">
              <w:rPr>
                <w:noProof/>
              </w:rPr>
              <w:t>30</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08" w:history="1">
            <w:r w:rsidR="00F7666C">
              <w:rPr>
                <w:rStyle w:val="Hyperlink"/>
                <w:noProof/>
              </w:rPr>
              <w:t>2.5. Poljoprivreda</w:t>
            </w:r>
            <w:r w:rsidR="00F7666C">
              <w:rPr>
                <w:noProof/>
              </w:rPr>
              <w:tab/>
            </w:r>
            <w:r>
              <w:rPr>
                <w:noProof/>
              </w:rPr>
              <w:fldChar w:fldCharType="begin"/>
            </w:r>
            <w:r w:rsidR="00F7666C">
              <w:rPr>
                <w:noProof/>
              </w:rPr>
              <w:instrText xml:space="preserve"> PAGEREF _Toc212039508 \h </w:instrText>
            </w:r>
            <w:r>
              <w:rPr>
                <w:noProof/>
              </w:rPr>
            </w:r>
            <w:r>
              <w:rPr>
                <w:noProof/>
              </w:rPr>
              <w:fldChar w:fldCharType="separate"/>
            </w:r>
            <w:r w:rsidR="00945639">
              <w:rPr>
                <w:noProof/>
              </w:rPr>
              <w:t>33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09" w:history="1">
            <w:r w:rsidR="00F7666C">
              <w:rPr>
                <w:rStyle w:val="Hyperlink"/>
                <w:noProof/>
              </w:rPr>
              <w:t>2.5.1.  Finansijske mjere podrške poljoprivredi</w:t>
            </w:r>
            <w:r w:rsidR="00F7666C">
              <w:rPr>
                <w:noProof/>
              </w:rPr>
              <w:tab/>
            </w:r>
            <w:r>
              <w:rPr>
                <w:noProof/>
              </w:rPr>
              <w:fldChar w:fldCharType="begin"/>
            </w:r>
            <w:r w:rsidR="00F7666C">
              <w:rPr>
                <w:noProof/>
              </w:rPr>
              <w:instrText xml:space="preserve"> PAGEREF _Toc212039509 \h </w:instrText>
            </w:r>
            <w:r>
              <w:rPr>
                <w:noProof/>
              </w:rPr>
            </w:r>
            <w:r>
              <w:rPr>
                <w:noProof/>
              </w:rPr>
              <w:fldChar w:fldCharType="separate"/>
            </w:r>
            <w:r w:rsidR="00945639">
              <w:rPr>
                <w:noProof/>
              </w:rPr>
              <w:t>34</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0" w:history="1">
            <w:r w:rsidR="00F7666C">
              <w:rPr>
                <w:rStyle w:val="Hyperlink"/>
                <w:noProof/>
              </w:rPr>
              <w:t>2.5.2. Organska proizvodnja</w:t>
            </w:r>
            <w:r w:rsidR="00F7666C">
              <w:rPr>
                <w:noProof/>
              </w:rPr>
              <w:tab/>
            </w:r>
            <w:r>
              <w:rPr>
                <w:noProof/>
              </w:rPr>
              <w:fldChar w:fldCharType="begin"/>
            </w:r>
            <w:r w:rsidR="00F7666C">
              <w:rPr>
                <w:noProof/>
              </w:rPr>
              <w:instrText xml:space="preserve"> PAGEREF _Toc212039510 \h </w:instrText>
            </w:r>
            <w:r>
              <w:rPr>
                <w:noProof/>
              </w:rPr>
            </w:r>
            <w:r>
              <w:rPr>
                <w:noProof/>
              </w:rPr>
              <w:fldChar w:fldCharType="separate"/>
            </w:r>
            <w:r w:rsidR="00945639">
              <w:rPr>
                <w:noProof/>
              </w:rPr>
              <w:t>35</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1" w:history="1">
            <w:r w:rsidR="00F7666C">
              <w:rPr>
                <w:rStyle w:val="Hyperlink"/>
                <w:noProof/>
              </w:rPr>
              <w:t>2.6. Turizam i ugostiteljstvo</w:t>
            </w:r>
            <w:r w:rsidR="00F7666C">
              <w:rPr>
                <w:noProof/>
              </w:rPr>
              <w:tab/>
            </w:r>
            <w:r>
              <w:rPr>
                <w:noProof/>
              </w:rPr>
              <w:fldChar w:fldCharType="begin"/>
            </w:r>
            <w:r w:rsidR="00F7666C">
              <w:rPr>
                <w:noProof/>
              </w:rPr>
              <w:instrText xml:space="preserve"> PAGEREF _Toc212039511 \h </w:instrText>
            </w:r>
            <w:r>
              <w:rPr>
                <w:noProof/>
              </w:rPr>
            </w:r>
            <w:r>
              <w:rPr>
                <w:noProof/>
              </w:rPr>
              <w:fldChar w:fldCharType="separate"/>
            </w:r>
            <w:r w:rsidR="00945639">
              <w:rPr>
                <w:noProof/>
              </w:rPr>
              <w:t>35</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2" w:history="1">
            <w:r w:rsidR="00F7666C">
              <w:rPr>
                <w:rStyle w:val="Hyperlink"/>
                <w:noProof/>
              </w:rPr>
              <w:t>2.7. Trgovina i zanatstvo</w:t>
            </w:r>
            <w:r w:rsidR="00F7666C">
              <w:rPr>
                <w:noProof/>
              </w:rPr>
              <w:tab/>
            </w:r>
            <w:r>
              <w:rPr>
                <w:noProof/>
              </w:rPr>
              <w:fldChar w:fldCharType="begin"/>
            </w:r>
            <w:r w:rsidR="00F7666C">
              <w:rPr>
                <w:noProof/>
              </w:rPr>
              <w:instrText xml:space="preserve"> PAGEREF _Toc212039512 \h </w:instrText>
            </w:r>
            <w:r>
              <w:rPr>
                <w:noProof/>
              </w:rPr>
            </w:r>
            <w:r>
              <w:rPr>
                <w:noProof/>
              </w:rPr>
              <w:fldChar w:fldCharType="separate"/>
            </w:r>
            <w:r w:rsidR="00945639">
              <w:rPr>
                <w:noProof/>
              </w:rPr>
              <w:t>39</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3" w:history="1">
            <w:r w:rsidR="00F7666C">
              <w:rPr>
                <w:rStyle w:val="Hyperlink"/>
                <w:noProof/>
              </w:rPr>
              <w:t>2.8. Investicije</w:t>
            </w:r>
            <w:r w:rsidR="00F7666C">
              <w:rPr>
                <w:noProof/>
              </w:rPr>
              <w:tab/>
            </w:r>
            <w:r>
              <w:rPr>
                <w:noProof/>
              </w:rPr>
              <w:fldChar w:fldCharType="begin"/>
            </w:r>
            <w:r w:rsidR="00F7666C">
              <w:rPr>
                <w:noProof/>
              </w:rPr>
              <w:instrText xml:space="preserve"> PAGEREF _Toc212039513 \h </w:instrText>
            </w:r>
            <w:r>
              <w:rPr>
                <w:noProof/>
              </w:rPr>
            </w:r>
            <w:r>
              <w:rPr>
                <w:noProof/>
              </w:rPr>
              <w:fldChar w:fldCharType="separate"/>
            </w:r>
            <w:r w:rsidR="00945639">
              <w:rPr>
                <w:noProof/>
              </w:rPr>
              <w:t>40</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4" w:history="1">
            <w:r w:rsidR="00F7666C">
              <w:rPr>
                <w:rStyle w:val="Hyperlink"/>
                <w:noProof/>
              </w:rPr>
              <w:t>2.9. Prostorno planska dokumentacija</w:t>
            </w:r>
            <w:r w:rsidR="00F7666C">
              <w:rPr>
                <w:noProof/>
              </w:rPr>
              <w:tab/>
            </w:r>
            <w:r>
              <w:rPr>
                <w:noProof/>
              </w:rPr>
              <w:fldChar w:fldCharType="begin"/>
            </w:r>
            <w:r w:rsidR="00F7666C">
              <w:rPr>
                <w:noProof/>
              </w:rPr>
              <w:instrText xml:space="preserve"> PAGEREF _Toc212039514 \h </w:instrText>
            </w:r>
            <w:r>
              <w:rPr>
                <w:noProof/>
              </w:rPr>
            </w:r>
            <w:r>
              <w:rPr>
                <w:noProof/>
              </w:rPr>
              <w:fldChar w:fldCharType="separate"/>
            </w:r>
            <w:r w:rsidR="00945639">
              <w:rPr>
                <w:noProof/>
              </w:rPr>
              <w:t>41</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5" w:history="1">
            <w:r w:rsidR="00F7666C">
              <w:rPr>
                <w:rStyle w:val="Hyperlink"/>
                <w:noProof/>
              </w:rPr>
              <w:t>2.10.       Komunalna infrastruktura</w:t>
            </w:r>
            <w:r w:rsidR="00F7666C">
              <w:rPr>
                <w:noProof/>
              </w:rPr>
              <w:tab/>
            </w:r>
            <w:r>
              <w:rPr>
                <w:noProof/>
              </w:rPr>
              <w:fldChar w:fldCharType="begin"/>
            </w:r>
            <w:r w:rsidR="00F7666C">
              <w:rPr>
                <w:noProof/>
              </w:rPr>
              <w:instrText xml:space="preserve"> PAGEREF _Toc212039515 \h </w:instrText>
            </w:r>
            <w:r>
              <w:rPr>
                <w:noProof/>
              </w:rPr>
            </w:r>
            <w:r>
              <w:rPr>
                <w:noProof/>
              </w:rPr>
              <w:fldChar w:fldCharType="separate"/>
            </w:r>
            <w:r w:rsidR="00945639">
              <w:rPr>
                <w:noProof/>
              </w:rPr>
              <w:t>44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16" w:history="1">
            <w:r w:rsidR="00F7666C">
              <w:rPr>
                <w:rStyle w:val="Hyperlink"/>
                <w:noProof/>
              </w:rPr>
              <w:t>2.10.1. Naknada za komunalno opremanje građevinskog zemljišta</w:t>
            </w:r>
            <w:r w:rsidR="00F7666C">
              <w:rPr>
                <w:noProof/>
              </w:rPr>
              <w:tab/>
            </w:r>
            <w:r>
              <w:rPr>
                <w:noProof/>
              </w:rPr>
              <w:fldChar w:fldCharType="begin"/>
            </w:r>
            <w:r w:rsidR="00F7666C">
              <w:rPr>
                <w:noProof/>
              </w:rPr>
              <w:instrText xml:space="preserve"> PAGEREF _Toc212039516 \h </w:instrText>
            </w:r>
            <w:r>
              <w:rPr>
                <w:noProof/>
              </w:rPr>
            </w:r>
            <w:r>
              <w:rPr>
                <w:noProof/>
              </w:rPr>
              <w:fldChar w:fldCharType="separate"/>
            </w:r>
            <w:r w:rsidR="00945639">
              <w:rPr>
                <w:noProof/>
              </w:rPr>
              <w:t>46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17" w:history="1">
            <w:r w:rsidR="00F7666C">
              <w:rPr>
                <w:rStyle w:val="Hyperlink"/>
                <w:noProof/>
              </w:rPr>
              <w:t>2.10.2. Građevinske dozvole i podnešeni zahtjevi za legalizaciju</w:t>
            </w:r>
            <w:r w:rsidR="00F7666C">
              <w:rPr>
                <w:noProof/>
              </w:rPr>
              <w:tab/>
            </w:r>
            <w:r>
              <w:rPr>
                <w:noProof/>
              </w:rPr>
              <w:fldChar w:fldCharType="begin"/>
            </w:r>
            <w:r w:rsidR="00F7666C">
              <w:rPr>
                <w:noProof/>
              </w:rPr>
              <w:instrText xml:space="preserve"> PAGEREF _Toc212039517 \h </w:instrText>
            </w:r>
            <w:r>
              <w:rPr>
                <w:noProof/>
              </w:rPr>
            </w:r>
            <w:r>
              <w:rPr>
                <w:noProof/>
              </w:rPr>
              <w:fldChar w:fldCharType="separate"/>
            </w:r>
            <w:r w:rsidR="00945639">
              <w:rPr>
                <w:noProof/>
              </w:rPr>
              <w:t>50</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18" w:history="1">
            <w:r w:rsidR="00F7666C">
              <w:rPr>
                <w:rStyle w:val="Hyperlink"/>
                <w:noProof/>
              </w:rPr>
              <w:t>2.11.  Lokalni putevi i ulice u naseljima</w:t>
            </w:r>
            <w:r w:rsidR="00F7666C">
              <w:rPr>
                <w:noProof/>
              </w:rPr>
              <w:tab/>
            </w:r>
            <w:r>
              <w:rPr>
                <w:noProof/>
              </w:rPr>
              <w:fldChar w:fldCharType="begin"/>
            </w:r>
            <w:r w:rsidR="00F7666C">
              <w:rPr>
                <w:noProof/>
              </w:rPr>
              <w:instrText xml:space="preserve"> PAGEREF _Toc212039518 \h </w:instrText>
            </w:r>
            <w:r>
              <w:rPr>
                <w:noProof/>
              </w:rPr>
            </w:r>
            <w:r>
              <w:rPr>
                <w:noProof/>
              </w:rPr>
              <w:fldChar w:fldCharType="separate"/>
            </w:r>
            <w:r w:rsidR="00945639">
              <w:rPr>
                <w:noProof/>
              </w:rPr>
              <w:t>52</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19" w:history="1">
            <w:r w:rsidR="00F7666C">
              <w:rPr>
                <w:rStyle w:val="Hyperlink"/>
                <w:noProof/>
              </w:rPr>
              <w:t>2.11.1. Javni prevoz putnika</w:t>
            </w:r>
            <w:r w:rsidR="00F7666C">
              <w:rPr>
                <w:noProof/>
              </w:rPr>
              <w:tab/>
            </w:r>
            <w:r>
              <w:rPr>
                <w:noProof/>
              </w:rPr>
              <w:fldChar w:fldCharType="begin"/>
            </w:r>
            <w:r w:rsidR="00F7666C">
              <w:rPr>
                <w:noProof/>
              </w:rPr>
              <w:instrText xml:space="preserve"> PAGEREF _Toc212039519 \h </w:instrText>
            </w:r>
            <w:r>
              <w:rPr>
                <w:noProof/>
              </w:rPr>
            </w:r>
            <w:r>
              <w:rPr>
                <w:noProof/>
              </w:rPr>
              <w:fldChar w:fldCharType="separate"/>
            </w:r>
            <w:r w:rsidR="00945639">
              <w:rPr>
                <w:noProof/>
              </w:rPr>
              <w:t>53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0" w:history="1">
            <w:r w:rsidR="00F7666C">
              <w:rPr>
                <w:rStyle w:val="Hyperlink"/>
                <w:noProof/>
              </w:rPr>
              <w:t>2.11.2. Digitalizacija linijskog prevoza putnika</w:t>
            </w:r>
            <w:r w:rsidR="00F7666C">
              <w:rPr>
                <w:noProof/>
              </w:rPr>
              <w:tab/>
            </w:r>
            <w:r>
              <w:rPr>
                <w:noProof/>
              </w:rPr>
              <w:fldChar w:fldCharType="begin"/>
            </w:r>
            <w:r w:rsidR="00F7666C">
              <w:rPr>
                <w:noProof/>
              </w:rPr>
              <w:instrText xml:space="preserve"> PAGEREF _Toc212039520 \h </w:instrText>
            </w:r>
            <w:r>
              <w:rPr>
                <w:noProof/>
              </w:rPr>
            </w:r>
            <w:r>
              <w:rPr>
                <w:noProof/>
              </w:rPr>
              <w:fldChar w:fldCharType="separate"/>
            </w:r>
            <w:r w:rsidR="00945639">
              <w:rPr>
                <w:noProof/>
              </w:rPr>
              <w:t>55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1" w:history="1">
            <w:r w:rsidR="00F7666C">
              <w:rPr>
                <w:rStyle w:val="Hyperlink"/>
                <w:noProof/>
              </w:rPr>
              <w:t>2.11.3. Stacionarni saobraćaj</w:t>
            </w:r>
            <w:r w:rsidR="00F7666C">
              <w:rPr>
                <w:noProof/>
              </w:rPr>
              <w:tab/>
            </w:r>
            <w:r>
              <w:rPr>
                <w:noProof/>
              </w:rPr>
              <w:fldChar w:fldCharType="begin"/>
            </w:r>
            <w:r w:rsidR="00F7666C">
              <w:rPr>
                <w:noProof/>
              </w:rPr>
              <w:instrText xml:space="preserve"> PAGEREF _Toc212039521 \h </w:instrText>
            </w:r>
            <w:r>
              <w:rPr>
                <w:noProof/>
              </w:rPr>
            </w:r>
            <w:r>
              <w:rPr>
                <w:noProof/>
              </w:rPr>
              <w:fldChar w:fldCharType="separate"/>
            </w:r>
            <w:r w:rsidR="00945639">
              <w:rPr>
                <w:noProof/>
              </w:rPr>
              <w:t>56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2" w:history="1">
            <w:r w:rsidR="00F7666C">
              <w:rPr>
                <w:rStyle w:val="Hyperlink"/>
                <w:noProof/>
              </w:rPr>
              <w:t>2.11.4. Infrastruktura za nemotorizovane učesnike u saobraćaju</w:t>
            </w:r>
            <w:r w:rsidR="00F7666C">
              <w:rPr>
                <w:noProof/>
              </w:rPr>
              <w:tab/>
            </w:r>
            <w:r>
              <w:rPr>
                <w:noProof/>
              </w:rPr>
              <w:fldChar w:fldCharType="begin"/>
            </w:r>
            <w:r w:rsidR="00F7666C">
              <w:rPr>
                <w:noProof/>
              </w:rPr>
              <w:instrText xml:space="preserve"> PAGEREF _Toc212039522 \h </w:instrText>
            </w:r>
            <w:r>
              <w:rPr>
                <w:noProof/>
              </w:rPr>
            </w:r>
            <w:r>
              <w:rPr>
                <w:noProof/>
              </w:rPr>
              <w:fldChar w:fldCharType="separate"/>
            </w:r>
            <w:r w:rsidR="00945639">
              <w:rPr>
                <w:noProof/>
              </w:rPr>
              <w:t>56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3" w:history="1">
            <w:r w:rsidR="00F7666C">
              <w:rPr>
                <w:rStyle w:val="Hyperlink"/>
                <w:noProof/>
              </w:rPr>
              <w:t>2.11.5. Željeznički saobraćaj</w:t>
            </w:r>
            <w:r w:rsidR="00F7666C">
              <w:rPr>
                <w:noProof/>
              </w:rPr>
              <w:tab/>
            </w:r>
            <w:r>
              <w:rPr>
                <w:noProof/>
              </w:rPr>
              <w:fldChar w:fldCharType="begin"/>
            </w:r>
            <w:r w:rsidR="00F7666C">
              <w:rPr>
                <w:noProof/>
              </w:rPr>
              <w:instrText xml:space="preserve"> PAGEREF _Toc212039523 \h </w:instrText>
            </w:r>
            <w:r>
              <w:rPr>
                <w:noProof/>
              </w:rPr>
            </w:r>
            <w:r>
              <w:rPr>
                <w:noProof/>
              </w:rPr>
              <w:fldChar w:fldCharType="separate"/>
            </w:r>
            <w:r w:rsidR="00945639">
              <w:rPr>
                <w:noProof/>
              </w:rPr>
              <w:t>57</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24" w:history="1">
            <w:r w:rsidR="00F7666C">
              <w:rPr>
                <w:rStyle w:val="Hyperlink"/>
                <w:noProof/>
              </w:rPr>
              <w:t>2.12. Poboljšanje saobraćajne infrastrukture i mobilnosti</w:t>
            </w:r>
            <w:r w:rsidR="00F7666C">
              <w:rPr>
                <w:noProof/>
              </w:rPr>
              <w:tab/>
            </w:r>
            <w:r>
              <w:rPr>
                <w:noProof/>
              </w:rPr>
              <w:fldChar w:fldCharType="begin"/>
            </w:r>
            <w:r w:rsidR="00F7666C">
              <w:rPr>
                <w:noProof/>
              </w:rPr>
              <w:instrText xml:space="preserve"> PAGEREF _Toc212039524 \h </w:instrText>
            </w:r>
            <w:r>
              <w:rPr>
                <w:noProof/>
              </w:rPr>
            </w:r>
            <w:r>
              <w:rPr>
                <w:noProof/>
              </w:rPr>
              <w:fldChar w:fldCharType="separate"/>
            </w:r>
            <w:r w:rsidR="00945639">
              <w:rPr>
                <w:noProof/>
              </w:rPr>
              <w:t>58</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5" w:history="1">
            <w:r w:rsidR="00F7666C">
              <w:rPr>
                <w:rStyle w:val="Hyperlink"/>
                <w:noProof/>
              </w:rPr>
              <w:t>2.12.’1. Razvoj saobraćajne infrastrukture</w:t>
            </w:r>
            <w:r w:rsidR="00F7666C">
              <w:rPr>
                <w:noProof/>
              </w:rPr>
              <w:tab/>
            </w:r>
            <w:r>
              <w:rPr>
                <w:noProof/>
              </w:rPr>
              <w:fldChar w:fldCharType="begin"/>
            </w:r>
            <w:r w:rsidR="00F7666C">
              <w:rPr>
                <w:noProof/>
              </w:rPr>
              <w:instrText xml:space="preserve"> PAGEREF _Toc212039525 \h </w:instrText>
            </w:r>
            <w:r>
              <w:rPr>
                <w:noProof/>
              </w:rPr>
            </w:r>
            <w:r>
              <w:rPr>
                <w:noProof/>
              </w:rPr>
              <w:fldChar w:fldCharType="separate"/>
            </w:r>
            <w:r w:rsidR="00945639">
              <w:rPr>
                <w:noProof/>
              </w:rPr>
              <w:t>58</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6" w:history="1">
            <w:r w:rsidR="00F7666C">
              <w:rPr>
                <w:rStyle w:val="Hyperlink"/>
                <w:noProof/>
              </w:rPr>
              <w:t>2.12.2. Razvoj održivog javnog prevoza putnika i aktivne mobilnosti</w:t>
            </w:r>
            <w:r w:rsidR="00F7666C">
              <w:rPr>
                <w:noProof/>
              </w:rPr>
              <w:tab/>
            </w:r>
            <w:r>
              <w:rPr>
                <w:noProof/>
              </w:rPr>
              <w:fldChar w:fldCharType="begin"/>
            </w:r>
            <w:r w:rsidR="00F7666C">
              <w:rPr>
                <w:noProof/>
              </w:rPr>
              <w:instrText xml:space="preserve"> PAGEREF _Toc212039526 \h </w:instrText>
            </w:r>
            <w:r>
              <w:rPr>
                <w:noProof/>
              </w:rPr>
            </w:r>
            <w:r>
              <w:rPr>
                <w:noProof/>
              </w:rPr>
              <w:fldChar w:fldCharType="separate"/>
            </w:r>
            <w:r w:rsidR="00945639">
              <w:rPr>
                <w:noProof/>
              </w:rPr>
              <w:t>59</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27" w:history="1">
            <w:r w:rsidR="00F7666C">
              <w:rPr>
                <w:rStyle w:val="Hyperlink"/>
                <w:noProof/>
              </w:rPr>
              <w:t>2.13. Vodosnabdijevanje i kanalizacija</w:t>
            </w:r>
            <w:r w:rsidR="00F7666C">
              <w:rPr>
                <w:noProof/>
              </w:rPr>
              <w:tab/>
            </w:r>
            <w:r>
              <w:rPr>
                <w:noProof/>
              </w:rPr>
              <w:fldChar w:fldCharType="begin"/>
            </w:r>
            <w:r w:rsidR="00F7666C">
              <w:rPr>
                <w:noProof/>
              </w:rPr>
              <w:instrText xml:space="preserve"> PAGEREF _Toc212039527 \h </w:instrText>
            </w:r>
            <w:r>
              <w:rPr>
                <w:noProof/>
              </w:rPr>
            </w:r>
            <w:r>
              <w:rPr>
                <w:noProof/>
              </w:rPr>
              <w:fldChar w:fldCharType="separate"/>
            </w:r>
            <w:r w:rsidR="00945639">
              <w:rPr>
                <w:noProof/>
              </w:rPr>
              <w:t>60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8" w:history="1">
            <w:r w:rsidR="00F7666C">
              <w:rPr>
                <w:rStyle w:val="Hyperlink"/>
                <w:noProof/>
              </w:rPr>
              <w:t>2.13.1. Vodosnabdijevanje</w:t>
            </w:r>
            <w:r w:rsidR="00F7666C">
              <w:rPr>
                <w:noProof/>
              </w:rPr>
              <w:tab/>
            </w:r>
            <w:r>
              <w:rPr>
                <w:noProof/>
              </w:rPr>
              <w:fldChar w:fldCharType="begin"/>
            </w:r>
            <w:r w:rsidR="00F7666C">
              <w:rPr>
                <w:noProof/>
              </w:rPr>
              <w:instrText xml:space="preserve"> PAGEREF _Toc212039528 \h </w:instrText>
            </w:r>
            <w:r>
              <w:rPr>
                <w:noProof/>
              </w:rPr>
            </w:r>
            <w:r>
              <w:rPr>
                <w:noProof/>
              </w:rPr>
              <w:fldChar w:fldCharType="separate"/>
            </w:r>
            <w:r w:rsidR="00945639">
              <w:rPr>
                <w:noProof/>
              </w:rPr>
              <w:t>60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29" w:history="1">
            <w:r w:rsidR="00F7666C">
              <w:rPr>
                <w:rStyle w:val="Hyperlink"/>
                <w:noProof/>
              </w:rPr>
              <w:t>2.13.1.1.  Vodovodna mreža</w:t>
            </w:r>
            <w:r w:rsidR="00F7666C">
              <w:rPr>
                <w:noProof/>
              </w:rPr>
              <w:tab/>
            </w:r>
            <w:r>
              <w:rPr>
                <w:noProof/>
              </w:rPr>
              <w:fldChar w:fldCharType="begin"/>
            </w:r>
            <w:r w:rsidR="00F7666C">
              <w:rPr>
                <w:noProof/>
              </w:rPr>
              <w:instrText xml:space="preserve"> PAGEREF _Toc212039529 \h </w:instrText>
            </w:r>
            <w:r>
              <w:rPr>
                <w:noProof/>
              </w:rPr>
            </w:r>
            <w:r>
              <w:rPr>
                <w:noProof/>
              </w:rPr>
              <w:fldChar w:fldCharType="separate"/>
            </w:r>
            <w:r w:rsidR="00945639">
              <w:rPr>
                <w:noProof/>
              </w:rPr>
              <w:t>61</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0" w:history="1">
            <w:r w:rsidR="00F7666C">
              <w:rPr>
                <w:rStyle w:val="Hyperlink"/>
                <w:noProof/>
              </w:rPr>
              <w:t>2.13.2. Kanalizacioni sistem</w:t>
            </w:r>
            <w:r w:rsidR="00F7666C">
              <w:rPr>
                <w:noProof/>
              </w:rPr>
              <w:tab/>
            </w:r>
            <w:r>
              <w:rPr>
                <w:noProof/>
              </w:rPr>
              <w:fldChar w:fldCharType="begin"/>
            </w:r>
            <w:r w:rsidR="00F7666C">
              <w:rPr>
                <w:noProof/>
              </w:rPr>
              <w:instrText xml:space="preserve"> PAGEREF _Toc212039530 \h </w:instrText>
            </w:r>
            <w:r>
              <w:rPr>
                <w:noProof/>
              </w:rPr>
            </w:r>
            <w:r>
              <w:rPr>
                <w:noProof/>
              </w:rPr>
              <w:fldChar w:fldCharType="separate"/>
            </w:r>
            <w:r w:rsidR="00945639">
              <w:rPr>
                <w:noProof/>
              </w:rPr>
              <w:t>63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1" w:history="1">
            <w:r w:rsidR="00F7666C">
              <w:rPr>
                <w:rStyle w:val="Hyperlink"/>
                <w:noProof/>
              </w:rPr>
              <w:t>2.13.2.1. Fekalna kanalizacija</w:t>
            </w:r>
            <w:r w:rsidR="00F7666C">
              <w:rPr>
                <w:noProof/>
              </w:rPr>
              <w:tab/>
            </w:r>
            <w:r>
              <w:rPr>
                <w:noProof/>
              </w:rPr>
              <w:fldChar w:fldCharType="begin"/>
            </w:r>
            <w:r w:rsidR="00F7666C">
              <w:rPr>
                <w:noProof/>
              </w:rPr>
              <w:instrText xml:space="preserve"> PAGEREF _Toc212039531 \h </w:instrText>
            </w:r>
            <w:r>
              <w:rPr>
                <w:noProof/>
              </w:rPr>
            </w:r>
            <w:r>
              <w:rPr>
                <w:noProof/>
              </w:rPr>
              <w:fldChar w:fldCharType="separate"/>
            </w:r>
            <w:r w:rsidR="00945639">
              <w:rPr>
                <w:noProof/>
              </w:rPr>
              <w:t>63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2" w:history="1">
            <w:r w:rsidR="00F7666C">
              <w:rPr>
                <w:rStyle w:val="Hyperlink"/>
                <w:noProof/>
              </w:rPr>
              <w:t>2.13.2.2. Postrojenje za prečišćavanje otpadnih voda</w:t>
            </w:r>
            <w:r w:rsidR="00F7666C">
              <w:rPr>
                <w:noProof/>
              </w:rPr>
              <w:tab/>
            </w:r>
            <w:r>
              <w:rPr>
                <w:noProof/>
              </w:rPr>
              <w:fldChar w:fldCharType="begin"/>
            </w:r>
            <w:r w:rsidR="00F7666C">
              <w:rPr>
                <w:noProof/>
              </w:rPr>
              <w:instrText xml:space="preserve"> PAGEREF _Toc212039532 \h </w:instrText>
            </w:r>
            <w:r>
              <w:rPr>
                <w:noProof/>
              </w:rPr>
            </w:r>
            <w:r>
              <w:rPr>
                <w:noProof/>
              </w:rPr>
              <w:fldChar w:fldCharType="separate"/>
            </w:r>
            <w:r w:rsidR="00945639">
              <w:rPr>
                <w:noProof/>
              </w:rPr>
              <w:t>63</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3" w:history="1">
            <w:r w:rsidR="00F7666C">
              <w:rPr>
                <w:rStyle w:val="Hyperlink"/>
                <w:noProof/>
              </w:rPr>
              <w:t>2.13.3. Atmosferska kanalizacija</w:t>
            </w:r>
            <w:r w:rsidR="00F7666C">
              <w:rPr>
                <w:noProof/>
              </w:rPr>
              <w:tab/>
            </w:r>
            <w:r>
              <w:rPr>
                <w:noProof/>
              </w:rPr>
              <w:fldChar w:fldCharType="begin"/>
            </w:r>
            <w:r w:rsidR="00F7666C">
              <w:rPr>
                <w:noProof/>
              </w:rPr>
              <w:instrText xml:space="preserve"> PAGEREF _Toc212039533 \h </w:instrText>
            </w:r>
            <w:r>
              <w:rPr>
                <w:noProof/>
              </w:rPr>
            </w:r>
            <w:r>
              <w:rPr>
                <w:noProof/>
              </w:rPr>
              <w:fldChar w:fldCharType="separate"/>
            </w:r>
            <w:r w:rsidR="00945639">
              <w:rPr>
                <w:noProof/>
              </w:rPr>
              <w:t>64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4" w:history="1">
            <w:r w:rsidR="00F7666C">
              <w:rPr>
                <w:rStyle w:val="Hyperlink"/>
                <w:noProof/>
              </w:rPr>
              <w:t>2.13.4. Broj potrošača</w:t>
            </w:r>
            <w:r w:rsidR="00F7666C">
              <w:rPr>
                <w:noProof/>
              </w:rPr>
              <w:tab/>
            </w:r>
            <w:r>
              <w:rPr>
                <w:noProof/>
              </w:rPr>
              <w:fldChar w:fldCharType="begin"/>
            </w:r>
            <w:r w:rsidR="00F7666C">
              <w:rPr>
                <w:noProof/>
              </w:rPr>
              <w:instrText xml:space="preserve"> PAGEREF _Toc212039534 \h </w:instrText>
            </w:r>
            <w:r>
              <w:rPr>
                <w:noProof/>
              </w:rPr>
            </w:r>
            <w:r>
              <w:rPr>
                <w:noProof/>
              </w:rPr>
              <w:fldChar w:fldCharType="separate"/>
            </w:r>
            <w:r w:rsidR="00945639">
              <w:rPr>
                <w:noProof/>
              </w:rPr>
              <w:t>64</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35" w:history="1">
            <w:r w:rsidR="00F7666C">
              <w:rPr>
                <w:rStyle w:val="Hyperlink"/>
                <w:noProof/>
              </w:rPr>
              <w:t>2.14.  Energetska efikasnost</w:t>
            </w:r>
            <w:r w:rsidR="00F7666C">
              <w:rPr>
                <w:noProof/>
              </w:rPr>
              <w:tab/>
            </w:r>
            <w:r>
              <w:rPr>
                <w:noProof/>
              </w:rPr>
              <w:fldChar w:fldCharType="begin"/>
            </w:r>
            <w:r w:rsidR="00F7666C">
              <w:rPr>
                <w:noProof/>
              </w:rPr>
              <w:instrText xml:space="preserve"> PAGEREF _Toc212039535 \h </w:instrText>
            </w:r>
            <w:r>
              <w:rPr>
                <w:noProof/>
              </w:rPr>
            </w:r>
            <w:r>
              <w:rPr>
                <w:noProof/>
              </w:rPr>
              <w:fldChar w:fldCharType="separate"/>
            </w:r>
            <w:r w:rsidR="00945639">
              <w:rPr>
                <w:noProof/>
              </w:rPr>
              <w:t>65</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36" w:history="1">
            <w:r w:rsidR="00F7666C">
              <w:rPr>
                <w:rStyle w:val="Hyperlink"/>
                <w:noProof/>
              </w:rPr>
              <w:t>2.15. Informacione tehnologije</w:t>
            </w:r>
            <w:r w:rsidR="00F7666C">
              <w:rPr>
                <w:noProof/>
              </w:rPr>
              <w:tab/>
            </w:r>
            <w:r>
              <w:rPr>
                <w:noProof/>
              </w:rPr>
              <w:fldChar w:fldCharType="begin"/>
            </w:r>
            <w:r w:rsidR="00F7666C">
              <w:rPr>
                <w:noProof/>
              </w:rPr>
              <w:instrText xml:space="preserve"> PAGEREF _Toc212039536 \h </w:instrText>
            </w:r>
            <w:r>
              <w:rPr>
                <w:noProof/>
              </w:rPr>
            </w:r>
            <w:r>
              <w:rPr>
                <w:noProof/>
              </w:rPr>
              <w:fldChar w:fldCharType="separate"/>
            </w:r>
            <w:r w:rsidR="00945639">
              <w:rPr>
                <w:noProof/>
              </w:rPr>
              <w:t>67</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37" w:history="1">
            <w:r w:rsidR="00F7666C">
              <w:rPr>
                <w:rStyle w:val="Hyperlink"/>
                <w:noProof/>
              </w:rPr>
              <w:t>2.16. Infrastruktura za zaštitu i spašavanje</w:t>
            </w:r>
            <w:r w:rsidR="00F7666C">
              <w:rPr>
                <w:noProof/>
              </w:rPr>
              <w:tab/>
            </w:r>
            <w:r>
              <w:rPr>
                <w:noProof/>
              </w:rPr>
              <w:fldChar w:fldCharType="begin"/>
            </w:r>
            <w:r w:rsidR="00F7666C">
              <w:rPr>
                <w:noProof/>
              </w:rPr>
              <w:instrText xml:space="preserve"> PAGEREF _Toc212039537 \h </w:instrText>
            </w:r>
            <w:r>
              <w:rPr>
                <w:noProof/>
              </w:rPr>
            </w:r>
            <w:r>
              <w:rPr>
                <w:noProof/>
              </w:rPr>
              <w:fldChar w:fldCharType="separate"/>
            </w:r>
            <w:r w:rsidR="00945639">
              <w:rPr>
                <w:noProof/>
              </w:rPr>
              <w:t>68</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38" w:history="1">
            <w:r w:rsidR="00F7666C">
              <w:rPr>
                <w:rStyle w:val="Hyperlink"/>
                <w:noProof/>
              </w:rPr>
              <w:t>2.17. Socijalni aspekti</w:t>
            </w:r>
            <w:r w:rsidR="00F7666C">
              <w:rPr>
                <w:noProof/>
              </w:rPr>
              <w:tab/>
            </w:r>
            <w:r>
              <w:rPr>
                <w:noProof/>
              </w:rPr>
              <w:fldChar w:fldCharType="begin"/>
            </w:r>
            <w:r w:rsidR="00F7666C">
              <w:rPr>
                <w:noProof/>
              </w:rPr>
              <w:instrText xml:space="preserve"> PAGEREF _Toc212039538 \h </w:instrText>
            </w:r>
            <w:r>
              <w:rPr>
                <w:noProof/>
              </w:rPr>
            </w:r>
            <w:r>
              <w:rPr>
                <w:noProof/>
              </w:rPr>
              <w:fldChar w:fldCharType="separate"/>
            </w:r>
            <w:r w:rsidR="00945639">
              <w:rPr>
                <w:noProof/>
              </w:rPr>
              <w:t>69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39" w:history="1">
            <w:r w:rsidR="00F7666C">
              <w:rPr>
                <w:rStyle w:val="Hyperlink"/>
                <w:noProof/>
              </w:rPr>
              <w:t>2.17.1. Zdravstvo</w:t>
            </w:r>
            <w:r w:rsidR="00F7666C">
              <w:rPr>
                <w:noProof/>
              </w:rPr>
              <w:tab/>
            </w:r>
            <w:r>
              <w:rPr>
                <w:noProof/>
              </w:rPr>
              <w:fldChar w:fldCharType="begin"/>
            </w:r>
            <w:r w:rsidR="00F7666C">
              <w:rPr>
                <w:noProof/>
              </w:rPr>
              <w:instrText xml:space="preserve"> PAGEREF _Toc212039539 \h </w:instrText>
            </w:r>
            <w:r>
              <w:rPr>
                <w:noProof/>
              </w:rPr>
            </w:r>
            <w:r>
              <w:rPr>
                <w:noProof/>
              </w:rPr>
              <w:fldChar w:fldCharType="separate"/>
            </w:r>
            <w:r w:rsidR="00945639">
              <w:rPr>
                <w:noProof/>
              </w:rPr>
              <w:t>69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0" w:history="1">
            <w:r w:rsidR="00F7666C">
              <w:rPr>
                <w:rStyle w:val="Hyperlink"/>
                <w:noProof/>
              </w:rPr>
              <w:t>2.17.2. Obrazovni sistem</w:t>
            </w:r>
            <w:r w:rsidR="00F7666C">
              <w:rPr>
                <w:noProof/>
              </w:rPr>
              <w:tab/>
            </w:r>
            <w:r>
              <w:rPr>
                <w:noProof/>
              </w:rPr>
              <w:fldChar w:fldCharType="begin"/>
            </w:r>
            <w:r w:rsidR="00F7666C">
              <w:rPr>
                <w:noProof/>
              </w:rPr>
              <w:instrText xml:space="preserve"> PAGEREF _Toc212039540 \h </w:instrText>
            </w:r>
            <w:r>
              <w:rPr>
                <w:noProof/>
              </w:rPr>
            </w:r>
            <w:r>
              <w:rPr>
                <w:noProof/>
              </w:rPr>
              <w:fldChar w:fldCharType="separate"/>
            </w:r>
            <w:r w:rsidR="00945639">
              <w:rPr>
                <w:noProof/>
              </w:rPr>
              <w:t>69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1" w:history="1">
            <w:r w:rsidR="00F7666C">
              <w:rPr>
                <w:rStyle w:val="Hyperlink"/>
                <w:noProof/>
              </w:rPr>
              <w:t>2.17.3. Socijalna i dječija zaštita</w:t>
            </w:r>
            <w:r w:rsidR="00F7666C">
              <w:rPr>
                <w:noProof/>
              </w:rPr>
              <w:tab/>
            </w:r>
            <w:r>
              <w:rPr>
                <w:noProof/>
              </w:rPr>
              <w:fldChar w:fldCharType="begin"/>
            </w:r>
            <w:r w:rsidR="00F7666C">
              <w:rPr>
                <w:noProof/>
              </w:rPr>
              <w:instrText xml:space="preserve"> PAGEREF _Toc212039541 \h </w:instrText>
            </w:r>
            <w:r>
              <w:rPr>
                <w:noProof/>
              </w:rPr>
            </w:r>
            <w:r>
              <w:rPr>
                <w:noProof/>
              </w:rPr>
              <w:fldChar w:fldCharType="separate"/>
            </w:r>
            <w:r w:rsidR="00945639">
              <w:rPr>
                <w:noProof/>
              </w:rPr>
              <w:t>69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2" w:history="1">
            <w:r w:rsidR="00F7666C">
              <w:rPr>
                <w:rStyle w:val="Hyperlink"/>
                <w:noProof/>
              </w:rPr>
              <w:t>2.17.3.1. Uslovi i kapaciteti za pružanje dnevnih usluga osobama sa invaliditetom</w:t>
            </w:r>
            <w:r w:rsidR="00F7666C">
              <w:rPr>
                <w:noProof/>
              </w:rPr>
              <w:tab/>
            </w:r>
            <w:r>
              <w:rPr>
                <w:noProof/>
              </w:rPr>
              <w:fldChar w:fldCharType="begin"/>
            </w:r>
            <w:r w:rsidR="00F7666C">
              <w:rPr>
                <w:noProof/>
              </w:rPr>
              <w:instrText xml:space="preserve"> PAGEREF _Toc212039542 \h </w:instrText>
            </w:r>
            <w:r>
              <w:rPr>
                <w:noProof/>
              </w:rPr>
            </w:r>
            <w:r>
              <w:rPr>
                <w:noProof/>
              </w:rPr>
              <w:fldChar w:fldCharType="separate"/>
            </w:r>
            <w:r w:rsidR="00945639">
              <w:rPr>
                <w:noProof/>
              </w:rPr>
              <w:t>74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3" w:history="1">
            <w:r w:rsidR="00F7666C">
              <w:rPr>
                <w:rStyle w:val="Hyperlink"/>
                <w:noProof/>
                <w:shd w:val="clear" w:color="auto" w:fill="F2F2F2"/>
              </w:rPr>
              <w:t>2.17.3.2. Uslovi stanovanja i stambena politika</w:t>
            </w:r>
            <w:r w:rsidR="00F7666C">
              <w:rPr>
                <w:noProof/>
              </w:rPr>
              <w:tab/>
            </w:r>
            <w:r>
              <w:rPr>
                <w:noProof/>
              </w:rPr>
              <w:fldChar w:fldCharType="begin"/>
            </w:r>
            <w:r w:rsidR="00F7666C">
              <w:rPr>
                <w:noProof/>
              </w:rPr>
              <w:instrText xml:space="preserve"> PAGEREF _Toc212039543 \h </w:instrText>
            </w:r>
            <w:r>
              <w:rPr>
                <w:noProof/>
              </w:rPr>
            </w:r>
            <w:r>
              <w:rPr>
                <w:noProof/>
              </w:rPr>
              <w:fldChar w:fldCharType="separate"/>
            </w:r>
            <w:r w:rsidR="00945639">
              <w:rPr>
                <w:noProof/>
              </w:rPr>
              <w:t>75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4" w:history="1">
            <w:r w:rsidR="00F7666C">
              <w:rPr>
                <w:rStyle w:val="Hyperlink"/>
                <w:noProof/>
              </w:rPr>
              <w:t>2.17.3.3. Unapređenje infrastrukture i podrške za rehabilitaciju zavisnika</w:t>
            </w:r>
            <w:r w:rsidR="00F7666C">
              <w:rPr>
                <w:noProof/>
              </w:rPr>
              <w:tab/>
            </w:r>
            <w:r>
              <w:rPr>
                <w:noProof/>
              </w:rPr>
              <w:fldChar w:fldCharType="begin"/>
            </w:r>
            <w:r w:rsidR="00F7666C">
              <w:rPr>
                <w:noProof/>
              </w:rPr>
              <w:instrText xml:space="preserve"> PAGEREF _Toc212039544 \h </w:instrText>
            </w:r>
            <w:r>
              <w:rPr>
                <w:noProof/>
              </w:rPr>
            </w:r>
            <w:r>
              <w:rPr>
                <w:noProof/>
              </w:rPr>
              <w:fldChar w:fldCharType="separate"/>
            </w:r>
            <w:r w:rsidR="00945639">
              <w:rPr>
                <w:noProof/>
              </w:rPr>
              <w:t>76</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45" w:history="1">
            <w:r w:rsidR="00F7666C">
              <w:rPr>
                <w:rStyle w:val="Hyperlink"/>
                <w:noProof/>
              </w:rPr>
              <w:t>2.18. Ekološki pregled</w:t>
            </w:r>
            <w:r w:rsidR="00F7666C">
              <w:rPr>
                <w:noProof/>
              </w:rPr>
              <w:tab/>
            </w:r>
            <w:r>
              <w:rPr>
                <w:noProof/>
              </w:rPr>
              <w:fldChar w:fldCharType="begin"/>
            </w:r>
            <w:r w:rsidR="00F7666C">
              <w:rPr>
                <w:noProof/>
              </w:rPr>
              <w:instrText xml:space="preserve"> PAGEREF _Toc212039545 \h </w:instrText>
            </w:r>
            <w:r>
              <w:rPr>
                <w:noProof/>
              </w:rPr>
            </w:r>
            <w:r>
              <w:rPr>
                <w:noProof/>
              </w:rPr>
              <w:fldChar w:fldCharType="separate"/>
            </w:r>
            <w:r w:rsidR="00945639">
              <w:rPr>
                <w:noProof/>
              </w:rPr>
              <w:t>77</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6" w:history="1">
            <w:r w:rsidR="00F7666C">
              <w:rPr>
                <w:rStyle w:val="Hyperlink"/>
                <w:noProof/>
              </w:rPr>
              <w:t>2.18.1. Upravljanje otpadom</w:t>
            </w:r>
            <w:r w:rsidR="00F7666C">
              <w:rPr>
                <w:noProof/>
              </w:rPr>
              <w:tab/>
            </w:r>
            <w:r>
              <w:rPr>
                <w:noProof/>
              </w:rPr>
              <w:fldChar w:fldCharType="begin"/>
            </w:r>
            <w:r w:rsidR="00F7666C">
              <w:rPr>
                <w:noProof/>
              </w:rPr>
              <w:instrText xml:space="preserve"> PAGEREF _Toc212039546 \h </w:instrText>
            </w:r>
            <w:r>
              <w:rPr>
                <w:noProof/>
              </w:rPr>
            </w:r>
            <w:r>
              <w:rPr>
                <w:noProof/>
              </w:rPr>
              <w:fldChar w:fldCharType="separate"/>
            </w:r>
            <w:r w:rsidR="00945639">
              <w:rPr>
                <w:noProof/>
              </w:rPr>
              <w:t>79</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47" w:history="1">
            <w:r w:rsidR="00F7666C">
              <w:rPr>
                <w:rStyle w:val="Hyperlink"/>
                <w:noProof/>
              </w:rPr>
              <w:t>2.18.2. Kvalitet vazduha</w:t>
            </w:r>
            <w:r w:rsidR="00F7666C">
              <w:rPr>
                <w:noProof/>
              </w:rPr>
              <w:tab/>
            </w:r>
            <w:r>
              <w:rPr>
                <w:noProof/>
              </w:rPr>
              <w:fldChar w:fldCharType="begin"/>
            </w:r>
            <w:r w:rsidR="00F7666C">
              <w:rPr>
                <w:noProof/>
              </w:rPr>
              <w:instrText xml:space="preserve"> PAGEREF _Toc212039547 \h </w:instrText>
            </w:r>
            <w:r>
              <w:rPr>
                <w:noProof/>
              </w:rPr>
            </w:r>
            <w:r>
              <w:rPr>
                <w:noProof/>
              </w:rPr>
              <w:fldChar w:fldCharType="separate"/>
            </w:r>
            <w:r w:rsidR="00945639">
              <w:rPr>
                <w:noProof/>
              </w:rPr>
              <w:t>88</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48" w:history="1">
            <w:r w:rsidR="00F7666C">
              <w:rPr>
                <w:rStyle w:val="Hyperlink"/>
                <w:noProof/>
              </w:rPr>
              <w:t>2.18.3. Kvalitet voda</w:t>
            </w:r>
            <w:r w:rsidR="00F7666C">
              <w:rPr>
                <w:noProof/>
              </w:rPr>
              <w:tab/>
            </w:r>
            <w:r>
              <w:rPr>
                <w:noProof/>
              </w:rPr>
              <w:fldChar w:fldCharType="begin"/>
            </w:r>
            <w:r w:rsidR="00F7666C">
              <w:rPr>
                <w:noProof/>
              </w:rPr>
              <w:instrText xml:space="preserve"> PAGEREF _Toc212039548 \h </w:instrText>
            </w:r>
            <w:r>
              <w:rPr>
                <w:noProof/>
              </w:rPr>
            </w:r>
            <w:r>
              <w:rPr>
                <w:noProof/>
              </w:rPr>
              <w:fldChar w:fldCharType="separate"/>
            </w:r>
            <w:r w:rsidR="00945639">
              <w:rPr>
                <w:noProof/>
              </w:rPr>
              <w:t>89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49" w:history="1">
            <w:r w:rsidR="00F7666C">
              <w:rPr>
                <w:rStyle w:val="Hyperlink"/>
                <w:noProof/>
              </w:rPr>
              <w:t>2.18.4. Kvalitet zemljišta</w:t>
            </w:r>
            <w:r w:rsidR="00F7666C">
              <w:rPr>
                <w:noProof/>
              </w:rPr>
              <w:tab/>
            </w:r>
            <w:r>
              <w:rPr>
                <w:noProof/>
              </w:rPr>
              <w:fldChar w:fldCharType="begin"/>
            </w:r>
            <w:r w:rsidR="00F7666C">
              <w:rPr>
                <w:noProof/>
              </w:rPr>
              <w:instrText xml:space="preserve"> PAGEREF _Toc212039549 \h </w:instrText>
            </w:r>
            <w:r>
              <w:rPr>
                <w:noProof/>
              </w:rPr>
            </w:r>
            <w:r>
              <w:rPr>
                <w:noProof/>
              </w:rPr>
              <w:fldChar w:fldCharType="separate"/>
            </w:r>
            <w:r w:rsidR="00945639">
              <w:rPr>
                <w:noProof/>
              </w:rPr>
              <w:t>89</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50" w:history="1">
            <w:r w:rsidR="00F7666C">
              <w:rPr>
                <w:rStyle w:val="Hyperlink"/>
                <w:noProof/>
              </w:rPr>
              <w:t>2.18.5. Biodiverzitet</w:t>
            </w:r>
            <w:r w:rsidR="00F7666C">
              <w:rPr>
                <w:noProof/>
              </w:rPr>
              <w:tab/>
            </w:r>
            <w:r>
              <w:rPr>
                <w:noProof/>
              </w:rPr>
              <w:fldChar w:fldCharType="begin"/>
            </w:r>
            <w:r w:rsidR="00F7666C">
              <w:rPr>
                <w:noProof/>
              </w:rPr>
              <w:instrText xml:space="preserve"> PAGEREF _Toc212039550 \h </w:instrText>
            </w:r>
            <w:r>
              <w:rPr>
                <w:noProof/>
              </w:rPr>
            </w:r>
            <w:r>
              <w:rPr>
                <w:noProof/>
              </w:rPr>
              <w:fldChar w:fldCharType="separate"/>
            </w:r>
            <w:r w:rsidR="00945639">
              <w:rPr>
                <w:noProof/>
              </w:rPr>
              <w:t>90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51" w:history="1">
            <w:r w:rsidR="00F7666C">
              <w:rPr>
                <w:rStyle w:val="Hyperlink"/>
                <w:noProof/>
              </w:rPr>
              <w:t>2.18.6. Buka</w:t>
            </w:r>
            <w:r w:rsidR="00F7666C">
              <w:rPr>
                <w:noProof/>
              </w:rPr>
              <w:tab/>
            </w:r>
            <w:r>
              <w:rPr>
                <w:noProof/>
              </w:rPr>
              <w:fldChar w:fldCharType="begin"/>
            </w:r>
            <w:r w:rsidR="00F7666C">
              <w:rPr>
                <w:noProof/>
              </w:rPr>
              <w:instrText xml:space="preserve"> PAGEREF _Toc212039551 \h </w:instrText>
            </w:r>
            <w:r>
              <w:rPr>
                <w:noProof/>
              </w:rPr>
            </w:r>
            <w:r>
              <w:rPr>
                <w:noProof/>
              </w:rPr>
              <w:fldChar w:fldCharType="separate"/>
            </w:r>
            <w:r w:rsidR="00945639">
              <w:rPr>
                <w:noProof/>
              </w:rPr>
              <w:t>92</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52" w:history="1">
            <w:r w:rsidR="00F7666C">
              <w:rPr>
                <w:rStyle w:val="Hyperlink"/>
                <w:noProof/>
              </w:rPr>
              <w:t>2.18.7. Zelene površine</w:t>
            </w:r>
            <w:r w:rsidR="00F7666C">
              <w:rPr>
                <w:noProof/>
              </w:rPr>
              <w:tab/>
            </w:r>
            <w:r>
              <w:rPr>
                <w:noProof/>
              </w:rPr>
              <w:fldChar w:fldCharType="begin"/>
            </w:r>
            <w:r w:rsidR="00F7666C">
              <w:rPr>
                <w:noProof/>
              </w:rPr>
              <w:instrText xml:space="preserve"> PAGEREF _Toc212039552 \h </w:instrText>
            </w:r>
            <w:r>
              <w:rPr>
                <w:noProof/>
              </w:rPr>
            </w:r>
            <w:r>
              <w:rPr>
                <w:noProof/>
              </w:rPr>
              <w:fldChar w:fldCharType="separate"/>
            </w:r>
            <w:r w:rsidR="00945639">
              <w:rPr>
                <w:noProof/>
              </w:rPr>
              <w:t>93</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53" w:history="1">
            <w:r w:rsidR="00F7666C">
              <w:rPr>
                <w:rStyle w:val="Hyperlink"/>
                <w:noProof/>
              </w:rPr>
              <w:t>2.19. SWOT ANALIZA</w:t>
            </w:r>
            <w:r w:rsidR="00F7666C">
              <w:rPr>
                <w:noProof/>
              </w:rPr>
              <w:tab/>
            </w:r>
            <w:r>
              <w:rPr>
                <w:noProof/>
              </w:rPr>
              <w:fldChar w:fldCharType="begin"/>
            </w:r>
            <w:r w:rsidR="00F7666C">
              <w:rPr>
                <w:noProof/>
              </w:rPr>
              <w:instrText xml:space="preserve"> PAGEREF _Toc212039553 \h </w:instrText>
            </w:r>
            <w:r>
              <w:rPr>
                <w:noProof/>
              </w:rPr>
            </w:r>
            <w:r>
              <w:rPr>
                <w:noProof/>
              </w:rPr>
              <w:fldChar w:fldCharType="separate"/>
            </w:r>
            <w:r w:rsidR="00945639">
              <w:rPr>
                <w:noProof/>
              </w:rPr>
              <w:t>94</w:t>
            </w:r>
            <w:r>
              <w:rPr>
                <w:noProof/>
              </w:rPr>
              <w:fldChar w:fldCharType="end"/>
            </w:r>
          </w:hyperlink>
        </w:p>
        <w:p w:rsidR="00E944C2" w:rsidRDefault="00290C90" w:rsidP="00316155">
          <w:pPr>
            <w:pStyle w:val="TOC1"/>
            <w:tabs>
              <w:tab w:val="left" w:pos="440"/>
              <w:tab w:val="right" w:leader="dot" w:pos="9350"/>
            </w:tabs>
            <w:jc w:val="both"/>
            <w:rPr>
              <w:rFonts w:asciiTheme="minorHAnsi" w:eastAsiaTheme="minorEastAsia" w:hAnsiTheme="minorHAnsi" w:cstheme="minorBidi"/>
              <w:noProof/>
            </w:rPr>
          </w:pPr>
          <w:hyperlink w:anchor="_Toc212039554" w:history="1">
            <w:r w:rsidR="00F7666C">
              <w:rPr>
                <w:rStyle w:val="Hyperlink"/>
                <w:rFonts w:eastAsia="Times New Roman" w:cs="Times New Roman"/>
                <w:noProof/>
              </w:rPr>
              <w:t>3.</w:t>
            </w:r>
            <w:r w:rsidR="00F7666C">
              <w:rPr>
                <w:rFonts w:asciiTheme="minorHAnsi" w:eastAsiaTheme="minorEastAsia" w:hAnsiTheme="minorHAnsi" w:cstheme="minorBidi"/>
                <w:noProof/>
              </w:rPr>
              <w:tab/>
            </w:r>
            <w:r w:rsidR="00F7666C">
              <w:rPr>
                <w:rStyle w:val="Hyperlink"/>
                <w:rFonts w:eastAsia="Times New Roman" w:cs="Times New Roman"/>
                <w:noProof/>
              </w:rPr>
              <w:t>STRATEŠKI CILJEVI I PRIORITETI</w:t>
            </w:r>
            <w:r w:rsidR="00F7666C">
              <w:rPr>
                <w:noProof/>
              </w:rPr>
              <w:tab/>
            </w:r>
            <w:r>
              <w:rPr>
                <w:noProof/>
              </w:rPr>
              <w:fldChar w:fldCharType="begin"/>
            </w:r>
            <w:r w:rsidR="00F7666C">
              <w:rPr>
                <w:noProof/>
              </w:rPr>
              <w:instrText xml:space="preserve"> PAGEREF _Toc212039554 \h </w:instrText>
            </w:r>
            <w:r>
              <w:rPr>
                <w:noProof/>
              </w:rPr>
            </w:r>
            <w:r>
              <w:rPr>
                <w:noProof/>
              </w:rPr>
              <w:fldChar w:fldCharType="separate"/>
            </w:r>
            <w:r w:rsidR="00945639">
              <w:rPr>
                <w:noProof/>
              </w:rPr>
              <w:t>96</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55" w:history="1">
            <w:r w:rsidR="00F7666C">
              <w:rPr>
                <w:rStyle w:val="Hyperlink"/>
                <w:noProof/>
              </w:rPr>
              <w:t>3.1. Ekonomski razvoj i privlačenje investicija: Unapređenje poslovnog okruženja za domaće i strane investiture</w:t>
            </w:r>
            <w:r w:rsidR="00F7666C">
              <w:rPr>
                <w:noProof/>
              </w:rPr>
              <w:tab/>
            </w:r>
            <w:r>
              <w:rPr>
                <w:noProof/>
              </w:rPr>
              <w:fldChar w:fldCharType="begin"/>
            </w:r>
            <w:r w:rsidR="00F7666C">
              <w:rPr>
                <w:noProof/>
              </w:rPr>
              <w:instrText xml:space="preserve"> PAGEREF _Toc212039555 \h </w:instrText>
            </w:r>
            <w:r>
              <w:rPr>
                <w:noProof/>
              </w:rPr>
            </w:r>
            <w:r>
              <w:rPr>
                <w:noProof/>
              </w:rPr>
              <w:fldChar w:fldCharType="separate"/>
            </w:r>
            <w:r w:rsidR="00945639">
              <w:rPr>
                <w:noProof/>
              </w:rPr>
              <w:t>96</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56" w:history="1">
            <w:r w:rsidR="00F7666C">
              <w:rPr>
                <w:rStyle w:val="Hyperlink"/>
                <w:noProof/>
              </w:rPr>
              <w:t>3.1.1.  Ekonomski podsticaji</w:t>
            </w:r>
            <w:r w:rsidR="00F7666C">
              <w:rPr>
                <w:noProof/>
              </w:rPr>
              <w:tab/>
            </w:r>
            <w:r>
              <w:rPr>
                <w:noProof/>
              </w:rPr>
              <w:fldChar w:fldCharType="begin"/>
            </w:r>
            <w:r w:rsidR="00F7666C">
              <w:rPr>
                <w:noProof/>
              </w:rPr>
              <w:instrText xml:space="preserve"> PAGEREF _Toc212039556 \h </w:instrText>
            </w:r>
            <w:r>
              <w:rPr>
                <w:noProof/>
              </w:rPr>
            </w:r>
            <w:r>
              <w:rPr>
                <w:noProof/>
              </w:rPr>
              <w:fldChar w:fldCharType="separate"/>
            </w:r>
            <w:r w:rsidR="00945639">
              <w:rPr>
                <w:noProof/>
              </w:rPr>
              <w:t>96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57" w:history="1">
            <w:r w:rsidR="00F7666C">
              <w:rPr>
                <w:rStyle w:val="Hyperlink"/>
                <w:noProof/>
              </w:rPr>
              <w:t>3.1.2. Promocija investicionih potencijala</w:t>
            </w:r>
            <w:r w:rsidR="00F7666C">
              <w:rPr>
                <w:noProof/>
              </w:rPr>
              <w:tab/>
            </w:r>
            <w:r>
              <w:rPr>
                <w:noProof/>
              </w:rPr>
              <w:fldChar w:fldCharType="begin"/>
            </w:r>
            <w:r w:rsidR="00F7666C">
              <w:rPr>
                <w:noProof/>
              </w:rPr>
              <w:instrText xml:space="preserve"> PAGEREF _Toc212039557 \h </w:instrText>
            </w:r>
            <w:r>
              <w:rPr>
                <w:noProof/>
              </w:rPr>
            </w:r>
            <w:r>
              <w:rPr>
                <w:noProof/>
              </w:rPr>
              <w:fldChar w:fldCharType="separate"/>
            </w:r>
            <w:r w:rsidR="00945639">
              <w:rPr>
                <w:noProof/>
              </w:rPr>
              <w:t>97</w:t>
            </w:r>
            <w:r>
              <w:rPr>
                <w:noProof/>
              </w:rPr>
              <w:fldChar w:fldCharType="end"/>
            </w:r>
          </w:hyperlink>
        </w:p>
        <w:p w:rsidR="00E944C2" w:rsidRDefault="00290C90" w:rsidP="00F5472A">
          <w:pPr>
            <w:pStyle w:val="TOC2"/>
            <w:tabs>
              <w:tab w:val="right" w:leader="dot" w:pos="9350"/>
            </w:tabs>
            <w:jc w:val="both"/>
            <w:rPr>
              <w:rFonts w:asciiTheme="minorHAnsi" w:eastAsiaTheme="minorEastAsia" w:hAnsiTheme="minorHAnsi" w:cstheme="minorBidi"/>
              <w:noProof/>
            </w:rPr>
          </w:pPr>
          <w:hyperlink w:anchor="_Toc212039558" w:history="1">
            <w:r w:rsidR="00F7666C">
              <w:rPr>
                <w:rStyle w:val="Hyperlink"/>
                <w:noProof/>
              </w:rPr>
              <w:t>3.2. Reforma administrativnih procesa</w:t>
            </w:r>
            <w:r w:rsidR="00F7666C">
              <w:rPr>
                <w:noProof/>
              </w:rPr>
              <w:tab/>
            </w:r>
            <w:r>
              <w:rPr>
                <w:noProof/>
              </w:rPr>
              <w:fldChar w:fldCharType="begin"/>
            </w:r>
            <w:r w:rsidR="00F7666C">
              <w:rPr>
                <w:noProof/>
              </w:rPr>
              <w:instrText xml:space="preserve"> PAGEREF _Toc212039558 \h </w:instrText>
            </w:r>
            <w:r>
              <w:rPr>
                <w:noProof/>
              </w:rPr>
            </w:r>
            <w:r>
              <w:rPr>
                <w:noProof/>
              </w:rPr>
              <w:fldChar w:fldCharType="separate"/>
            </w:r>
            <w:r w:rsidR="00945639">
              <w:rPr>
                <w:noProof/>
              </w:rPr>
              <w:t>98</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59" w:history="1">
            <w:r w:rsidR="00F7666C">
              <w:rPr>
                <w:rStyle w:val="Hyperlink"/>
                <w:noProof/>
              </w:rPr>
              <w:t>3.2.1. Implementacija elektronske uprave i digitalizacija administrativnih postupaka</w:t>
            </w:r>
            <w:r w:rsidR="00F7666C">
              <w:rPr>
                <w:noProof/>
              </w:rPr>
              <w:tab/>
            </w:r>
            <w:r>
              <w:rPr>
                <w:noProof/>
              </w:rPr>
              <w:fldChar w:fldCharType="begin"/>
            </w:r>
            <w:r w:rsidR="00F7666C">
              <w:rPr>
                <w:noProof/>
              </w:rPr>
              <w:instrText xml:space="preserve"> PAGEREF _Toc212039559 \h </w:instrText>
            </w:r>
            <w:r>
              <w:rPr>
                <w:noProof/>
              </w:rPr>
            </w:r>
            <w:r>
              <w:rPr>
                <w:noProof/>
              </w:rPr>
              <w:fldChar w:fldCharType="separate"/>
            </w:r>
            <w:r w:rsidR="00945639">
              <w:rPr>
                <w:noProof/>
              </w:rPr>
              <w:t>98</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60" w:history="1">
            <w:r w:rsidR="00F7666C">
              <w:rPr>
                <w:rStyle w:val="Hyperlink"/>
                <w:noProof/>
              </w:rPr>
              <w:t>3.3. Razvoj poljoprivrednog sektora</w:t>
            </w:r>
            <w:r w:rsidR="00F7666C">
              <w:rPr>
                <w:noProof/>
              </w:rPr>
              <w:tab/>
            </w:r>
            <w:r>
              <w:rPr>
                <w:noProof/>
              </w:rPr>
              <w:fldChar w:fldCharType="begin"/>
            </w:r>
            <w:r w:rsidR="00F7666C">
              <w:rPr>
                <w:noProof/>
              </w:rPr>
              <w:instrText xml:space="preserve"> PAGEREF _Toc212039560 \h </w:instrText>
            </w:r>
            <w:r>
              <w:rPr>
                <w:noProof/>
              </w:rPr>
            </w:r>
            <w:r>
              <w:rPr>
                <w:noProof/>
              </w:rPr>
              <w:fldChar w:fldCharType="separate"/>
            </w:r>
            <w:r w:rsidR="00945639">
              <w:rPr>
                <w:noProof/>
              </w:rPr>
              <w:t>99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61" w:history="1">
            <w:r w:rsidR="00F7666C">
              <w:rPr>
                <w:rStyle w:val="Hyperlink"/>
                <w:noProof/>
              </w:rPr>
              <w:t>3.3.1. DUP (UTU)</w:t>
            </w:r>
            <w:r w:rsidR="00F7666C">
              <w:rPr>
                <w:noProof/>
              </w:rPr>
              <w:tab/>
            </w:r>
            <w:r>
              <w:rPr>
                <w:noProof/>
              </w:rPr>
              <w:fldChar w:fldCharType="begin"/>
            </w:r>
            <w:r w:rsidR="00F7666C">
              <w:rPr>
                <w:noProof/>
              </w:rPr>
              <w:instrText xml:space="preserve"> PAGEREF _Toc212039561 \h </w:instrText>
            </w:r>
            <w:r>
              <w:rPr>
                <w:noProof/>
              </w:rPr>
            </w:r>
            <w:r>
              <w:rPr>
                <w:noProof/>
              </w:rPr>
              <w:fldChar w:fldCharType="separate"/>
            </w:r>
            <w:r w:rsidR="00945639">
              <w:rPr>
                <w:noProof/>
              </w:rPr>
              <w:t>99</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62" w:history="1">
            <w:r w:rsidR="00F7666C">
              <w:rPr>
                <w:rStyle w:val="Hyperlink"/>
                <w:noProof/>
              </w:rPr>
              <w:t>3.3.2. Izdavanja vodnih akata</w:t>
            </w:r>
            <w:r w:rsidR="00F7666C">
              <w:rPr>
                <w:noProof/>
              </w:rPr>
              <w:tab/>
            </w:r>
            <w:r>
              <w:rPr>
                <w:noProof/>
              </w:rPr>
              <w:fldChar w:fldCharType="begin"/>
            </w:r>
            <w:r w:rsidR="00F7666C">
              <w:rPr>
                <w:noProof/>
              </w:rPr>
              <w:instrText xml:space="preserve"> PAGEREF _Toc212039562 \h </w:instrText>
            </w:r>
            <w:r>
              <w:rPr>
                <w:noProof/>
              </w:rPr>
            </w:r>
            <w:r>
              <w:rPr>
                <w:noProof/>
              </w:rPr>
              <w:fldChar w:fldCharType="separate"/>
            </w:r>
            <w:r w:rsidR="00945639">
              <w:rPr>
                <w:noProof/>
              </w:rPr>
              <w:t>99</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63" w:history="1">
            <w:r w:rsidR="00F7666C">
              <w:rPr>
                <w:rStyle w:val="Hyperlink"/>
                <w:noProof/>
              </w:rPr>
              <w:t>3.3.3. Stočno groblje</w:t>
            </w:r>
            <w:r w:rsidR="00F7666C">
              <w:rPr>
                <w:noProof/>
              </w:rPr>
              <w:tab/>
            </w:r>
            <w:r>
              <w:rPr>
                <w:noProof/>
              </w:rPr>
              <w:fldChar w:fldCharType="begin"/>
            </w:r>
            <w:r w:rsidR="00F7666C">
              <w:rPr>
                <w:noProof/>
              </w:rPr>
              <w:instrText xml:space="preserve"> PAGEREF _Toc212039563 \h </w:instrText>
            </w:r>
            <w:r>
              <w:rPr>
                <w:noProof/>
              </w:rPr>
            </w:r>
            <w:r>
              <w:rPr>
                <w:noProof/>
              </w:rPr>
              <w:fldChar w:fldCharType="separate"/>
            </w:r>
            <w:r w:rsidR="00945639">
              <w:rPr>
                <w:noProof/>
              </w:rPr>
              <w:t>99</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64" w:history="1">
            <w:r w:rsidR="00F7666C">
              <w:rPr>
                <w:rStyle w:val="Hyperlink"/>
                <w:noProof/>
              </w:rPr>
              <w:t>3.3.4. Mobilne spalionice</w:t>
            </w:r>
            <w:r w:rsidR="00F7666C">
              <w:rPr>
                <w:noProof/>
              </w:rPr>
              <w:tab/>
            </w:r>
            <w:r>
              <w:rPr>
                <w:noProof/>
              </w:rPr>
              <w:fldChar w:fldCharType="begin"/>
            </w:r>
            <w:r w:rsidR="00F7666C">
              <w:rPr>
                <w:noProof/>
              </w:rPr>
              <w:instrText xml:space="preserve"> PAGEREF _Toc212039564 \h </w:instrText>
            </w:r>
            <w:r>
              <w:rPr>
                <w:noProof/>
              </w:rPr>
            </w:r>
            <w:r>
              <w:rPr>
                <w:noProof/>
              </w:rPr>
              <w:fldChar w:fldCharType="separate"/>
            </w:r>
            <w:r w:rsidR="00945639">
              <w:rPr>
                <w:noProof/>
              </w:rPr>
              <w:t>100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65" w:history="1">
            <w:r w:rsidR="00F7666C">
              <w:rPr>
                <w:rStyle w:val="Hyperlink"/>
                <w:noProof/>
              </w:rPr>
              <w:t>3.3.5. Herbal ture, katuni i planinski vijenci Podgorice</w:t>
            </w:r>
            <w:r w:rsidR="00F7666C">
              <w:rPr>
                <w:noProof/>
              </w:rPr>
              <w:tab/>
            </w:r>
            <w:r>
              <w:rPr>
                <w:noProof/>
              </w:rPr>
              <w:fldChar w:fldCharType="begin"/>
            </w:r>
            <w:r w:rsidR="00F7666C">
              <w:rPr>
                <w:noProof/>
              </w:rPr>
              <w:instrText xml:space="preserve"> PAGEREF _Toc212039565 \h </w:instrText>
            </w:r>
            <w:r>
              <w:rPr>
                <w:noProof/>
              </w:rPr>
            </w:r>
            <w:r>
              <w:rPr>
                <w:noProof/>
              </w:rPr>
              <w:fldChar w:fldCharType="separate"/>
            </w:r>
            <w:r w:rsidR="00945639">
              <w:rPr>
                <w:noProof/>
              </w:rPr>
              <w:t>100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66" w:history="1">
            <w:r w:rsidR="00F7666C">
              <w:rPr>
                <w:rStyle w:val="Hyperlink"/>
                <w:noProof/>
              </w:rPr>
              <w:t>3.3.6. Medni put</w:t>
            </w:r>
            <w:r w:rsidR="00F7666C">
              <w:rPr>
                <w:noProof/>
              </w:rPr>
              <w:tab/>
            </w:r>
            <w:r>
              <w:rPr>
                <w:noProof/>
              </w:rPr>
              <w:fldChar w:fldCharType="begin"/>
            </w:r>
            <w:r w:rsidR="00F7666C">
              <w:rPr>
                <w:noProof/>
              </w:rPr>
              <w:instrText xml:space="preserve"> PAGEREF _Toc212039566 \h </w:instrText>
            </w:r>
            <w:r>
              <w:rPr>
                <w:noProof/>
              </w:rPr>
            </w:r>
            <w:r>
              <w:rPr>
                <w:noProof/>
              </w:rPr>
              <w:fldChar w:fldCharType="separate"/>
            </w:r>
            <w:r w:rsidR="00945639">
              <w:rPr>
                <w:noProof/>
              </w:rPr>
              <w:t>100</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67" w:history="1">
            <w:r w:rsidR="00F7666C">
              <w:rPr>
                <w:rStyle w:val="Hyperlink"/>
                <w:noProof/>
              </w:rPr>
              <w:t>3.3.7. GPS obilježavnje uljanika</w:t>
            </w:r>
            <w:r w:rsidR="00F7666C">
              <w:rPr>
                <w:noProof/>
              </w:rPr>
              <w:tab/>
            </w:r>
            <w:r>
              <w:rPr>
                <w:noProof/>
              </w:rPr>
              <w:fldChar w:fldCharType="begin"/>
            </w:r>
            <w:r w:rsidR="00F7666C">
              <w:rPr>
                <w:noProof/>
              </w:rPr>
              <w:instrText xml:space="preserve"> PAGEREF _Toc212039567 \h </w:instrText>
            </w:r>
            <w:r>
              <w:rPr>
                <w:noProof/>
              </w:rPr>
            </w:r>
            <w:r>
              <w:rPr>
                <w:noProof/>
              </w:rPr>
              <w:fldChar w:fldCharType="separate"/>
            </w:r>
            <w:r w:rsidR="00945639">
              <w:rPr>
                <w:noProof/>
              </w:rPr>
              <w:t>100</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68" w:history="1">
            <w:r w:rsidR="00F7666C">
              <w:rPr>
                <w:rStyle w:val="Hyperlink"/>
                <w:noProof/>
              </w:rPr>
              <w:t>3.3.8. Vinske ceste</w:t>
            </w:r>
            <w:r w:rsidR="00F7666C">
              <w:rPr>
                <w:noProof/>
              </w:rPr>
              <w:tab/>
            </w:r>
            <w:r>
              <w:rPr>
                <w:noProof/>
              </w:rPr>
              <w:fldChar w:fldCharType="begin"/>
            </w:r>
            <w:r w:rsidR="00F7666C">
              <w:rPr>
                <w:noProof/>
              </w:rPr>
              <w:instrText xml:space="preserve"> PAGEREF _Toc212039568 \h </w:instrText>
            </w:r>
            <w:r>
              <w:rPr>
                <w:noProof/>
              </w:rPr>
            </w:r>
            <w:r>
              <w:rPr>
                <w:noProof/>
              </w:rPr>
              <w:fldChar w:fldCharType="separate"/>
            </w:r>
            <w:r w:rsidR="00945639">
              <w:rPr>
                <w:noProof/>
              </w:rPr>
              <w:t>100</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69" w:history="1">
            <w:r w:rsidR="00F7666C">
              <w:rPr>
                <w:rStyle w:val="Hyperlink"/>
                <w:noProof/>
              </w:rPr>
              <w:t>3.3.9. HACCP</w:t>
            </w:r>
            <w:r w:rsidR="00F7666C">
              <w:rPr>
                <w:noProof/>
              </w:rPr>
              <w:tab/>
            </w:r>
            <w:r>
              <w:rPr>
                <w:noProof/>
              </w:rPr>
              <w:fldChar w:fldCharType="begin"/>
            </w:r>
            <w:r w:rsidR="00F7666C">
              <w:rPr>
                <w:noProof/>
              </w:rPr>
              <w:instrText xml:space="preserve"> PAGEREF _Toc212039569 \h </w:instrText>
            </w:r>
            <w:r>
              <w:rPr>
                <w:noProof/>
              </w:rPr>
            </w:r>
            <w:r>
              <w:rPr>
                <w:noProof/>
              </w:rPr>
              <w:fldChar w:fldCharType="separate"/>
            </w:r>
            <w:r w:rsidR="00945639">
              <w:rPr>
                <w:noProof/>
              </w:rPr>
              <w:t>101</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70" w:history="1">
            <w:r w:rsidR="00F7666C">
              <w:rPr>
                <w:rStyle w:val="Hyperlink"/>
                <w:noProof/>
              </w:rPr>
              <w:t>3.3.10. LAG</w:t>
            </w:r>
            <w:r w:rsidR="00F7666C">
              <w:rPr>
                <w:noProof/>
              </w:rPr>
              <w:tab/>
            </w:r>
            <w:r>
              <w:rPr>
                <w:noProof/>
              </w:rPr>
              <w:fldChar w:fldCharType="begin"/>
            </w:r>
            <w:r w:rsidR="00F7666C">
              <w:rPr>
                <w:noProof/>
              </w:rPr>
              <w:instrText xml:space="preserve"> PAGEREF _Toc212039570 \h </w:instrText>
            </w:r>
            <w:r>
              <w:rPr>
                <w:noProof/>
              </w:rPr>
            </w:r>
            <w:r>
              <w:rPr>
                <w:noProof/>
              </w:rPr>
              <w:fldChar w:fldCharType="separate"/>
            </w:r>
            <w:r w:rsidR="00945639">
              <w:rPr>
                <w:noProof/>
              </w:rPr>
              <w:t>101</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71" w:history="1">
            <w:r w:rsidR="00F7666C">
              <w:rPr>
                <w:rStyle w:val="Hyperlink"/>
                <w:noProof/>
              </w:rPr>
              <w:t>3.3.11. Lokalni sajmovi</w:t>
            </w:r>
            <w:r w:rsidR="00F7666C">
              <w:rPr>
                <w:noProof/>
              </w:rPr>
              <w:tab/>
            </w:r>
            <w:r>
              <w:rPr>
                <w:noProof/>
              </w:rPr>
              <w:fldChar w:fldCharType="begin"/>
            </w:r>
            <w:r w:rsidR="00F7666C">
              <w:rPr>
                <w:noProof/>
              </w:rPr>
              <w:instrText xml:space="preserve"> PAGEREF _Toc212039571 \h </w:instrText>
            </w:r>
            <w:r>
              <w:rPr>
                <w:noProof/>
              </w:rPr>
            </w:r>
            <w:r>
              <w:rPr>
                <w:noProof/>
              </w:rPr>
              <w:fldChar w:fldCharType="separate"/>
            </w:r>
            <w:r w:rsidR="00945639">
              <w:rPr>
                <w:noProof/>
              </w:rPr>
              <w:t>101</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72" w:history="1">
            <w:r w:rsidR="00F7666C">
              <w:rPr>
                <w:rStyle w:val="Hyperlink"/>
                <w:noProof/>
              </w:rPr>
              <w:t>3.3.12. Čišćenje i održavanje kanala za navodnjavanje na teritoriji Glavnog grada</w:t>
            </w:r>
            <w:r w:rsidR="00F7666C">
              <w:rPr>
                <w:noProof/>
              </w:rPr>
              <w:tab/>
            </w:r>
            <w:r>
              <w:rPr>
                <w:noProof/>
              </w:rPr>
              <w:fldChar w:fldCharType="begin"/>
            </w:r>
            <w:r w:rsidR="00F7666C">
              <w:rPr>
                <w:noProof/>
              </w:rPr>
              <w:instrText xml:space="preserve"> PAGEREF _Toc212039572 \h </w:instrText>
            </w:r>
            <w:r>
              <w:rPr>
                <w:noProof/>
              </w:rPr>
            </w:r>
            <w:r>
              <w:rPr>
                <w:noProof/>
              </w:rPr>
              <w:fldChar w:fldCharType="separate"/>
            </w:r>
            <w:r w:rsidR="00945639">
              <w:rPr>
                <w:noProof/>
              </w:rPr>
              <w:t>101</w:t>
            </w:r>
            <w:r>
              <w:rPr>
                <w:noProof/>
              </w:rPr>
              <w:fldChar w:fldCharType="end"/>
            </w:r>
          </w:hyperlink>
        </w:p>
        <w:p w:rsidR="00E944C2" w:rsidRDefault="00290C90" w:rsidP="00F5472A">
          <w:pPr>
            <w:pStyle w:val="TOC2"/>
            <w:tabs>
              <w:tab w:val="right" w:leader="dot" w:pos="9350"/>
            </w:tabs>
            <w:jc w:val="both"/>
            <w:rPr>
              <w:rFonts w:asciiTheme="minorHAnsi" w:eastAsiaTheme="minorEastAsia" w:hAnsiTheme="minorHAnsi" w:cstheme="minorBidi"/>
              <w:noProof/>
            </w:rPr>
          </w:pPr>
          <w:hyperlink w:anchor="_Toc212039573" w:history="1">
            <w:r w:rsidR="00F7666C">
              <w:rPr>
                <w:rStyle w:val="Hyperlink"/>
                <w:rFonts w:eastAsia="Times New Roman" w:cs="Times New Roman"/>
                <w:noProof/>
              </w:rPr>
              <w:t>3.4. Digitalizacija</w:t>
            </w:r>
            <w:r w:rsidR="00F7666C">
              <w:rPr>
                <w:noProof/>
              </w:rPr>
              <w:tab/>
            </w:r>
            <w:r>
              <w:rPr>
                <w:noProof/>
              </w:rPr>
              <w:fldChar w:fldCharType="begin"/>
            </w:r>
            <w:r w:rsidR="00F7666C">
              <w:rPr>
                <w:noProof/>
              </w:rPr>
              <w:instrText xml:space="preserve"> PAGEREF _Toc212039573 \h </w:instrText>
            </w:r>
            <w:r>
              <w:rPr>
                <w:noProof/>
              </w:rPr>
            </w:r>
            <w:r>
              <w:rPr>
                <w:noProof/>
              </w:rPr>
              <w:fldChar w:fldCharType="separate"/>
            </w:r>
            <w:r w:rsidR="00945639">
              <w:rPr>
                <w:noProof/>
              </w:rPr>
              <w:t>101</w:t>
            </w:r>
            <w:r>
              <w:rPr>
                <w:noProof/>
              </w:rPr>
              <w:fldChar w:fldCharType="end"/>
            </w:r>
          </w:hyperlink>
        </w:p>
        <w:p w:rsidR="00E944C2" w:rsidRDefault="00290C90" w:rsidP="00316155">
          <w:pPr>
            <w:pStyle w:val="TOC2"/>
            <w:tabs>
              <w:tab w:val="right" w:leader="dot" w:pos="9350"/>
            </w:tabs>
            <w:jc w:val="both"/>
            <w:rPr>
              <w:rFonts w:asciiTheme="minorHAnsi" w:eastAsiaTheme="minorEastAsia" w:hAnsiTheme="minorHAnsi" w:cstheme="minorBidi"/>
              <w:noProof/>
            </w:rPr>
          </w:pPr>
          <w:hyperlink w:anchor="_Toc212039574" w:history="1">
            <w:r w:rsidR="00F7666C">
              <w:rPr>
                <w:rStyle w:val="Hyperlink"/>
                <w:noProof/>
              </w:rPr>
              <w:t>3.5. Razvoj obrazovanja i zdravstvenih usluga</w:t>
            </w:r>
            <w:r w:rsidR="00F7666C">
              <w:rPr>
                <w:noProof/>
              </w:rPr>
              <w:tab/>
            </w:r>
            <w:r>
              <w:rPr>
                <w:noProof/>
              </w:rPr>
              <w:fldChar w:fldCharType="begin"/>
            </w:r>
            <w:r w:rsidR="00F7666C">
              <w:rPr>
                <w:noProof/>
              </w:rPr>
              <w:instrText xml:space="preserve"> PAGEREF _Toc212039574 \h </w:instrText>
            </w:r>
            <w:r>
              <w:rPr>
                <w:noProof/>
              </w:rPr>
            </w:r>
            <w:r>
              <w:rPr>
                <w:noProof/>
              </w:rPr>
              <w:fldChar w:fldCharType="separate"/>
            </w:r>
            <w:r w:rsidR="00945639">
              <w:rPr>
                <w:noProof/>
              </w:rPr>
              <w:t>104</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75" w:history="1">
            <w:r w:rsidR="00F7666C">
              <w:rPr>
                <w:rStyle w:val="Hyperlink"/>
                <w:noProof/>
              </w:rPr>
              <w:t>3.5.1. Modernizacija obrazovnih institucija i uvođenje novih tehnologija u nastavni proces</w:t>
            </w:r>
            <w:r w:rsidR="00F7666C">
              <w:rPr>
                <w:noProof/>
              </w:rPr>
              <w:tab/>
            </w:r>
            <w:r>
              <w:rPr>
                <w:noProof/>
              </w:rPr>
              <w:fldChar w:fldCharType="begin"/>
            </w:r>
            <w:r w:rsidR="00F7666C">
              <w:rPr>
                <w:noProof/>
              </w:rPr>
              <w:instrText xml:space="preserve"> PAGEREF _Toc212039575 \h </w:instrText>
            </w:r>
            <w:r>
              <w:rPr>
                <w:noProof/>
              </w:rPr>
            </w:r>
            <w:r>
              <w:rPr>
                <w:noProof/>
              </w:rPr>
              <w:fldChar w:fldCharType="separate"/>
            </w:r>
            <w:r w:rsidR="00945639">
              <w:rPr>
                <w:noProof/>
              </w:rPr>
              <w:t>104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76" w:history="1">
            <w:r w:rsidR="00F7666C">
              <w:rPr>
                <w:rStyle w:val="Hyperlink"/>
                <w:noProof/>
              </w:rPr>
              <w:t>3.5.2. Povećanje dostupnosti i kvalitet zdravstvenih usluga</w:t>
            </w:r>
            <w:r w:rsidR="00F7666C">
              <w:rPr>
                <w:noProof/>
              </w:rPr>
              <w:tab/>
            </w:r>
            <w:r>
              <w:rPr>
                <w:noProof/>
              </w:rPr>
              <w:fldChar w:fldCharType="begin"/>
            </w:r>
            <w:r w:rsidR="00F7666C">
              <w:rPr>
                <w:noProof/>
              </w:rPr>
              <w:instrText xml:space="preserve"> PAGEREF _Toc212039576 \h </w:instrText>
            </w:r>
            <w:r>
              <w:rPr>
                <w:noProof/>
              </w:rPr>
            </w:r>
            <w:r>
              <w:rPr>
                <w:noProof/>
              </w:rPr>
              <w:fldChar w:fldCharType="separate"/>
            </w:r>
            <w:r w:rsidR="00945639">
              <w:rPr>
                <w:noProof/>
              </w:rPr>
              <w:t>105</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77" w:history="1">
            <w:r w:rsidR="00F7666C">
              <w:rPr>
                <w:rStyle w:val="Hyperlink"/>
                <w:noProof/>
              </w:rPr>
              <w:t>3.5.3. Zajednički pristupi i saradnja</w:t>
            </w:r>
            <w:r w:rsidR="00F7666C">
              <w:rPr>
                <w:noProof/>
              </w:rPr>
              <w:tab/>
            </w:r>
            <w:r>
              <w:rPr>
                <w:noProof/>
              </w:rPr>
              <w:fldChar w:fldCharType="begin"/>
            </w:r>
            <w:r w:rsidR="00F7666C">
              <w:rPr>
                <w:noProof/>
              </w:rPr>
              <w:instrText xml:space="preserve"> PAGEREF _Toc212039577 \h </w:instrText>
            </w:r>
            <w:r>
              <w:rPr>
                <w:noProof/>
              </w:rPr>
            </w:r>
            <w:r>
              <w:rPr>
                <w:noProof/>
              </w:rPr>
              <w:fldChar w:fldCharType="separate"/>
            </w:r>
            <w:r w:rsidR="00945639">
              <w:rPr>
                <w:noProof/>
              </w:rPr>
              <w:t>105</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78" w:history="1">
            <w:r w:rsidR="00F7666C">
              <w:rPr>
                <w:rStyle w:val="Hyperlink"/>
                <w:noProof/>
              </w:rPr>
              <w:t>3.5.4. Razvoj transportne i komunikacione infrastrukture</w:t>
            </w:r>
            <w:r w:rsidR="00F7666C">
              <w:rPr>
                <w:noProof/>
              </w:rPr>
              <w:tab/>
            </w:r>
            <w:r>
              <w:rPr>
                <w:noProof/>
              </w:rPr>
              <w:fldChar w:fldCharType="begin"/>
            </w:r>
            <w:r w:rsidR="00F7666C">
              <w:rPr>
                <w:noProof/>
              </w:rPr>
              <w:instrText xml:space="preserve"> PAGEREF _Toc212039578 \h </w:instrText>
            </w:r>
            <w:r>
              <w:rPr>
                <w:noProof/>
              </w:rPr>
            </w:r>
            <w:r>
              <w:rPr>
                <w:noProof/>
              </w:rPr>
              <w:fldChar w:fldCharType="separate"/>
            </w:r>
            <w:r w:rsidR="00945639">
              <w:rPr>
                <w:noProof/>
              </w:rPr>
              <w:t>106</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79" w:history="1">
            <w:r w:rsidR="00F7666C">
              <w:rPr>
                <w:rStyle w:val="Hyperlink"/>
                <w:noProof/>
              </w:rPr>
              <w:t>3.5.5. Unapređenje vodovodne infrastrukture i infrastrukture za sakupljanje i prečišćavanje otpadnih voda</w:t>
            </w:r>
            <w:r w:rsidR="00F7666C">
              <w:rPr>
                <w:noProof/>
              </w:rPr>
              <w:tab/>
            </w:r>
            <w:r>
              <w:rPr>
                <w:noProof/>
              </w:rPr>
              <w:fldChar w:fldCharType="begin"/>
            </w:r>
            <w:r w:rsidR="00F7666C">
              <w:rPr>
                <w:noProof/>
              </w:rPr>
              <w:instrText xml:space="preserve"> PAGEREF _Toc212039579 \h </w:instrText>
            </w:r>
            <w:r>
              <w:rPr>
                <w:noProof/>
              </w:rPr>
            </w:r>
            <w:r>
              <w:rPr>
                <w:noProof/>
              </w:rPr>
              <w:fldChar w:fldCharType="separate"/>
            </w:r>
            <w:r w:rsidR="00945639">
              <w:rPr>
                <w:noProof/>
              </w:rPr>
              <w:t>107</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80" w:history="1">
            <w:r w:rsidR="00F7666C">
              <w:rPr>
                <w:rStyle w:val="Hyperlink"/>
                <w:noProof/>
              </w:rPr>
              <w:t>3.5.6. Modernizacija infrastrukture i unapređenje pijačne djelatnosti</w:t>
            </w:r>
            <w:r w:rsidR="00F7666C">
              <w:rPr>
                <w:noProof/>
              </w:rPr>
              <w:tab/>
            </w:r>
            <w:r>
              <w:rPr>
                <w:noProof/>
              </w:rPr>
              <w:fldChar w:fldCharType="begin"/>
            </w:r>
            <w:r w:rsidR="00F7666C">
              <w:rPr>
                <w:noProof/>
              </w:rPr>
              <w:instrText xml:space="preserve"> PAGEREF _Toc212039580 \h </w:instrText>
            </w:r>
            <w:r>
              <w:rPr>
                <w:noProof/>
              </w:rPr>
            </w:r>
            <w:r>
              <w:rPr>
                <w:noProof/>
              </w:rPr>
              <w:fldChar w:fldCharType="separate"/>
            </w:r>
            <w:r w:rsidR="00945639">
              <w:rPr>
                <w:noProof/>
              </w:rPr>
              <w:t>108</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1" w:history="1">
            <w:r w:rsidR="00F7666C">
              <w:rPr>
                <w:rStyle w:val="Hyperlink"/>
                <w:noProof/>
              </w:rPr>
              <w:t>3.5.7. Infrastruktura i upravljanje grobljima</w:t>
            </w:r>
            <w:r w:rsidR="00F7666C">
              <w:rPr>
                <w:noProof/>
              </w:rPr>
              <w:tab/>
            </w:r>
            <w:r>
              <w:rPr>
                <w:noProof/>
              </w:rPr>
              <w:fldChar w:fldCharType="begin"/>
            </w:r>
            <w:r w:rsidR="00F7666C">
              <w:rPr>
                <w:noProof/>
              </w:rPr>
              <w:instrText xml:space="preserve"> PAGEREF _Toc212039581 \h </w:instrText>
            </w:r>
            <w:r>
              <w:rPr>
                <w:noProof/>
              </w:rPr>
            </w:r>
            <w:r>
              <w:rPr>
                <w:noProof/>
              </w:rPr>
              <w:fldChar w:fldCharType="separate"/>
            </w:r>
            <w:r w:rsidR="00945639">
              <w:rPr>
                <w:noProof/>
              </w:rPr>
              <w:t>110</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82" w:history="1">
            <w:r w:rsidR="00F7666C">
              <w:rPr>
                <w:rStyle w:val="Hyperlink"/>
                <w:noProof/>
              </w:rPr>
              <w:t>3.5.8.  Razvoj vatrogasne infrastrukture</w:t>
            </w:r>
            <w:r w:rsidR="00F7666C">
              <w:rPr>
                <w:noProof/>
              </w:rPr>
              <w:tab/>
            </w:r>
            <w:r>
              <w:rPr>
                <w:noProof/>
              </w:rPr>
              <w:fldChar w:fldCharType="begin"/>
            </w:r>
            <w:r w:rsidR="00F7666C">
              <w:rPr>
                <w:noProof/>
              </w:rPr>
              <w:instrText xml:space="preserve"> PAGEREF _Toc212039582 \h </w:instrText>
            </w:r>
            <w:r>
              <w:rPr>
                <w:noProof/>
              </w:rPr>
            </w:r>
            <w:r>
              <w:rPr>
                <w:noProof/>
              </w:rPr>
              <w:fldChar w:fldCharType="separate"/>
            </w:r>
            <w:r w:rsidR="00945639">
              <w:rPr>
                <w:noProof/>
              </w:rPr>
              <w:t>112</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3" w:history="1">
            <w:r w:rsidR="00F7666C">
              <w:rPr>
                <w:rStyle w:val="Hyperlink"/>
                <w:noProof/>
              </w:rPr>
              <w:t>3.5.9. Zaštita životne sredine i održivi razvoj</w:t>
            </w:r>
            <w:r w:rsidR="00F7666C">
              <w:rPr>
                <w:noProof/>
              </w:rPr>
              <w:tab/>
            </w:r>
            <w:r>
              <w:rPr>
                <w:noProof/>
              </w:rPr>
              <w:fldChar w:fldCharType="begin"/>
            </w:r>
            <w:r w:rsidR="00F7666C">
              <w:rPr>
                <w:noProof/>
              </w:rPr>
              <w:instrText xml:space="preserve"> PAGEREF _Toc212039583 \h </w:instrText>
            </w:r>
            <w:r>
              <w:rPr>
                <w:noProof/>
              </w:rPr>
            </w:r>
            <w:r>
              <w:rPr>
                <w:noProof/>
              </w:rPr>
              <w:fldChar w:fldCharType="separate"/>
            </w:r>
            <w:r w:rsidR="00945639">
              <w:rPr>
                <w:noProof/>
              </w:rPr>
              <w:t>113</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4" w:history="1">
            <w:r w:rsidR="00F7666C">
              <w:rPr>
                <w:rStyle w:val="Hyperlink"/>
                <w:noProof/>
              </w:rPr>
              <w:t>3.5.10. Mitigacija i adaptacija na klimatske promjene</w:t>
            </w:r>
            <w:r w:rsidR="00F7666C">
              <w:rPr>
                <w:noProof/>
              </w:rPr>
              <w:tab/>
            </w:r>
            <w:r>
              <w:rPr>
                <w:noProof/>
              </w:rPr>
              <w:fldChar w:fldCharType="begin"/>
            </w:r>
            <w:r w:rsidR="00F7666C">
              <w:rPr>
                <w:noProof/>
              </w:rPr>
              <w:instrText xml:space="preserve"> PAGEREF _Toc212039584 \h </w:instrText>
            </w:r>
            <w:r>
              <w:rPr>
                <w:noProof/>
              </w:rPr>
            </w:r>
            <w:r>
              <w:rPr>
                <w:noProof/>
              </w:rPr>
              <w:fldChar w:fldCharType="separate"/>
            </w:r>
            <w:r w:rsidR="00945639">
              <w:rPr>
                <w:noProof/>
              </w:rPr>
              <w:t>114</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5" w:history="1">
            <w:r w:rsidR="00F7666C">
              <w:rPr>
                <w:rStyle w:val="Hyperlink"/>
                <w:noProof/>
              </w:rPr>
              <w:t>3.5.11. Upravljanje otpadom i reciklaža</w:t>
            </w:r>
            <w:r w:rsidR="00F7666C">
              <w:rPr>
                <w:noProof/>
              </w:rPr>
              <w:tab/>
            </w:r>
            <w:r>
              <w:rPr>
                <w:noProof/>
              </w:rPr>
              <w:fldChar w:fldCharType="begin"/>
            </w:r>
            <w:r w:rsidR="00F7666C">
              <w:rPr>
                <w:noProof/>
              </w:rPr>
              <w:instrText xml:space="preserve"> PAGEREF _Toc212039585 \h </w:instrText>
            </w:r>
            <w:r>
              <w:rPr>
                <w:noProof/>
              </w:rPr>
            </w:r>
            <w:r>
              <w:rPr>
                <w:noProof/>
              </w:rPr>
              <w:fldChar w:fldCharType="separate"/>
            </w:r>
            <w:r w:rsidR="00945639">
              <w:rPr>
                <w:noProof/>
              </w:rPr>
              <w:t>115</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6" w:history="1">
            <w:r w:rsidR="00F7666C">
              <w:rPr>
                <w:rStyle w:val="Hyperlink"/>
                <w:noProof/>
              </w:rPr>
              <w:t>3.5.12.  Kvalitet segmenata životne sredine</w:t>
            </w:r>
            <w:r w:rsidR="00F7666C">
              <w:rPr>
                <w:noProof/>
              </w:rPr>
              <w:tab/>
            </w:r>
            <w:r>
              <w:rPr>
                <w:noProof/>
              </w:rPr>
              <w:fldChar w:fldCharType="begin"/>
            </w:r>
            <w:r w:rsidR="00F7666C">
              <w:rPr>
                <w:noProof/>
              </w:rPr>
              <w:instrText xml:space="preserve"> PAGEREF _Toc212039586 \h </w:instrText>
            </w:r>
            <w:r>
              <w:rPr>
                <w:noProof/>
              </w:rPr>
            </w:r>
            <w:r>
              <w:rPr>
                <w:noProof/>
              </w:rPr>
              <w:fldChar w:fldCharType="separate"/>
            </w:r>
            <w:r w:rsidR="00945639">
              <w:rPr>
                <w:noProof/>
              </w:rPr>
              <w:t>116</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7" w:history="1">
            <w:r w:rsidR="00F7666C">
              <w:rPr>
                <w:rStyle w:val="Hyperlink"/>
                <w:noProof/>
              </w:rPr>
              <w:t>3.5.13. Zaštita prirode i upravljanje zaštićenim područjima</w:t>
            </w:r>
            <w:r w:rsidR="00F7666C">
              <w:rPr>
                <w:noProof/>
              </w:rPr>
              <w:tab/>
            </w:r>
            <w:r>
              <w:rPr>
                <w:noProof/>
              </w:rPr>
              <w:fldChar w:fldCharType="begin"/>
            </w:r>
            <w:r w:rsidR="00F7666C">
              <w:rPr>
                <w:noProof/>
              </w:rPr>
              <w:instrText xml:space="preserve"> PAGEREF _Toc212039587 \h </w:instrText>
            </w:r>
            <w:r>
              <w:rPr>
                <w:noProof/>
              </w:rPr>
            </w:r>
            <w:r>
              <w:rPr>
                <w:noProof/>
              </w:rPr>
              <w:fldChar w:fldCharType="separate"/>
            </w:r>
            <w:r w:rsidR="00945639">
              <w:rPr>
                <w:noProof/>
              </w:rPr>
              <w:t>117</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88" w:history="1">
            <w:r w:rsidR="00F7666C">
              <w:rPr>
                <w:rStyle w:val="Hyperlink"/>
                <w:noProof/>
              </w:rPr>
              <w:t>3.5.14. Partnerstva za održivi razvoj</w:t>
            </w:r>
            <w:r w:rsidR="00F7666C">
              <w:rPr>
                <w:noProof/>
              </w:rPr>
              <w:tab/>
            </w:r>
            <w:r>
              <w:rPr>
                <w:noProof/>
              </w:rPr>
              <w:fldChar w:fldCharType="begin"/>
            </w:r>
            <w:r w:rsidR="00F7666C">
              <w:rPr>
                <w:noProof/>
              </w:rPr>
              <w:instrText xml:space="preserve"> PAGEREF _Toc212039588 \h </w:instrText>
            </w:r>
            <w:r>
              <w:rPr>
                <w:noProof/>
              </w:rPr>
            </w:r>
            <w:r>
              <w:rPr>
                <w:noProof/>
              </w:rPr>
              <w:fldChar w:fldCharType="separate"/>
            </w:r>
            <w:r w:rsidR="00945639">
              <w:rPr>
                <w:noProof/>
              </w:rPr>
              <w:t>120</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89" w:history="1">
            <w:r w:rsidR="00F7666C">
              <w:rPr>
                <w:rStyle w:val="Hyperlink"/>
                <w:noProof/>
              </w:rPr>
              <w:t>3.5.15. Razvoj turizma, sporta i rekreacije</w:t>
            </w:r>
            <w:r w:rsidR="00F7666C">
              <w:rPr>
                <w:noProof/>
              </w:rPr>
              <w:tab/>
            </w:r>
            <w:r>
              <w:rPr>
                <w:noProof/>
              </w:rPr>
              <w:fldChar w:fldCharType="begin"/>
            </w:r>
            <w:r w:rsidR="00F7666C">
              <w:rPr>
                <w:noProof/>
              </w:rPr>
              <w:instrText xml:space="preserve"> PAGEREF _Toc212039589 \h </w:instrText>
            </w:r>
            <w:r>
              <w:rPr>
                <w:noProof/>
              </w:rPr>
            </w:r>
            <w:r>
              <w:rPr>
                <w:noProof/>
              </w:rPr>
              <w:fldChar w:fldCharType="separate"/>
            </w:r>
            <w:r w:rsidR="00945639">
              <w:rPr>
                <w:noProof/>
              </w:rPr>
              <w:t>120</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0" w:history="1">
            <w:r w:rsidR="00F7666C">
              <w:rPr>
                <w:rStyle w:val="Hyperlink"/>
                <w:noProof/>
              </w:rPr>
              <w:t>3.5.15.1. Razvoj ekoturističke infrastrukture</w:t>
            </w:r>
            <w:r w:rsidR="00F7666C">
              <w:rPr>
                <w:noProof/>
              </w:rPr>
              <w:tab/>
            </w:r>
            <w:r>
              <w:rPr>
                <w:noProof/>
              </w:rPr>
              <w:fldChar w:fldCharType="begin"/>
            </w:r>
            <w:r w:rsidR="00F7666C">
              <w:rPr>
                <w:noProof/>
              </w:rPr>
              <w:instrText xml:space="preserve"> PAGEREF _Toc212039590 \h </w:instrText>
            </w:r>
            <w:r>
              <w:rPr>
                <w:noProof/>
              </w:rPr>
            </w:r>
            <w:r>
              <w:rPr>
                <w:noProof/>
              </w:rPr>
              <w:fldChar w:fldCharType="separate"/>
            </w:r>
            <w:r w:rsidR="00945639">
              <w:rPr>
                <w:noProof/>
              </w:rPr>
              <w:t>121</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1" w:history="1">
            <w:r w:rsidR="00F7666C">
              <w:rPr>
                <w:rStyle w:val="Hyperlink"/>
                <w:noProof/>
              </w:rPr>
              <w:t>3.5.15.2. Unapređenje kulturnog turizma</w:t>
            </w:r>
            <w:r w:rsidR="00F7666C">
              <w:rPr>
                <w:noProof/>
              </w:rPr>
              <w:tab/>
            </w:r>
            <w:r>
              <w:rPr>
                <w:noProof/>
              </w:rPr>
              <w:fldChar w:fldCharType="begin"/>
            </w:r>
            <w:r w:rsidR="00F7666C">
              <w:rPr>
                <w:noProof/>
              </w:rPr>
              <w:instrText xml:space="preserve"> PAGEREF _Toc212039591 \h </w:instrText>
            </w:r>
            <w:r>
              <w:rPr>
                <w:noProof/>
              </w:rPr>
            </w:r>
            <w:r>
              <w:rPr>
                <w:noProof/>
              </w:rPr>
              <w:fldChar w:fldCharType="separate"/>
            </w:r>
            <w:r w:rsidR="00945639">
              <w:rPr>
                <w:noProof/>
              </w:rPr>
              <w:t>121</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92" w:history="1">
            <w:r w:rsidR="00F7666C">
              <w:rPr>
                <w:rStyle w:val="Hyperlink"/>
                <w:noProof/>
              </w:rPr>
              <w:t>3.5.16. Sport i rekreacija</w:t>
            </w:r>
            <w:r w:rsidR="00F7666C">
              <w:rPr>
                <w:noProof/>
              </w:rPr>
              <w:tab/>
            </w:r>
            <w:r>
              <w:rPr>
                <w:noProof/>
              </w:rPr>
              <w:fldChar w:fldCharType="begin"/>
            </w:r>
            <w:r w:rsidR="00F7666C">
              <w:rPr>
                <w:noProof/>
              </w:rPr>
              <w:instrText xml:space="preserve"> PAGEREF _Toc212039592 \h </w:instrText>
            </w:r>
            <w:r>
              <w:rPr>
                <w:noProof/>
              </w:rPr>
            </w:r>
            <w:r>
              <w:rPr>
                <w:noProof/>
              </w:rPr>
              <w:fldChar w:fldCharType="separate"/>
            </w:r>
            <w:r w:rsidR="00945639">
              <w:rPr>
                <w:noProof/>
              </w:rPr>
              <w:t>123</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3" w:history="1">
            <w:r w:rsidR="00F7666C">
              <w:rPr>
                <w:rStyle w:val="Hyperlink"/>
                <w:noProof/>
              </w:rPr>
              <w:t>3.5.16.1. Izgradnja i modernizacija sportske infrastrukture</w:t>
            </w:r>
            <w:r w:rsidR="00F7666C">
              <w:rPr>
                <w:noProof/>
              </w:rPr>
              <w:tab/>
            </w:r>
            <w:r>
              <w:rPr>
                <w:noProof/>
              </w:rPr>
              <w:fldChar w:fldCharType="begin"/>
            </w:r>
            <w:r w:rsidR="00F7666C">
              <w:rPr>
                <w:noProof/>
              </w:rPr>
              <w:instrText xml:space="preserve"> PAGEREF _Toc212039593 \h </w:instrText>
            </w:r>
            <w:r>
              <w:rPr>
                <w:noProof/>
              </w:rPr>
            </w:r>
            <w:r>
              <w:rPr>
                <w:noProof/>
              </w:rPr>
              <w:fldChar w:fldCharType="separate"/>
            </w:r>
            <w:r w:rsidR="00945639">
              <w:rPr>
                <w:noProof/>
              </w:rPr>
              <w:t>123</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4" w:history="1">
            <w:r w:rsidR="00F7666C">
              <w:rPr>
                <w:rStyle w:val="Hyperlink"/>
                <w:noProof/>
              </w:rPr>
              <w:t>3.5.16.2. Sportski turizam i aktivni odmor</w:t>
            </w:r>
            <w:r w:rsidR="00F7666C">
              <w:rPr>
                <w:noProof/>
              </w:rPr>
              <w:tab/>
            </w:r>
            <w:r>
              <w:rPr>
                <w:noProof/>
              </w:rPr>
              <w:fldChar w:fldCharType="begin"/>
            </w:r>
            <w:r w:rsidR="00F7666C">
              <w:rPr>
                <w:noProof/>
              </w:rPr>
              <w:instrText xml:space="preserve"> PAGEREF _Toc212039594 \h </w:instrText>
            </w:r>
            <w:r>
              <w:rPr>
                <w:noProof/>
              </w:rPr>
            </w:r>
            <w:r>
              <w:rPr>
                <w:noProof/>
              </w:rPr>
              <w:fldChar w:fldCharType="separate"/>
            </w:r>
            <w:r w:rsidR="00945639">
              <w:rPr>
                <w:noProof/>
              </w:rPr>
              <w:t>124</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5" w:history="1">
            <w:r w:rsidR="00F7666C">
              <w:rPr>
                <w:rStyle w:val="Hyperlink"/>
                <w:noProof/>
              </w:rPr>
              <w:t>3.5.16.3. Sportska inkluzija, školski sport i zdravi stilovi života</w:t>
            </w:r>
            <w:r w:rsidR="00F7666C">
              <w:rPr>
                <w:noProof/>
              </w:rPr>
              <w:tab/>
            </w:r>
            <w:r>
              <w:rPr>
                <w:noProof/>
              </w:rPr>
              <w:fldChar w:fldCharType="begin"/>
            </w:r>
            <w:r w:rsidR="00F7666C">
              <w:rPr>
                <w:noProof/>
              </w:rPr>
              <w:instrText xml:space="preserve"> PAGEREF _Toc212039595 \h </w:instrText>
            </w:r>
            <w:r>
              <w:rPr>
                <w:noProof/>
              </w:rPr>
            </w:r>
            <w:r>
              <w:rPr>
                <w:noProof/>
              </w:rPr>
              <w:fldChar w:fldCharType="separate"/>
            </w:r>
            <w:r w:rsidR="00945639">
              <w:rPr>
                <w:noProof/>
              </w:rPr>
              <w:t>124</w:t>
            </w:r>
            <w:r>
              <w:rPr>
                <w:noProof/>
              </w:rPr>
              <w:fldChar w:fldCharType="end"/>
            </w:r>
          </w:hyperlink>
        </w:p>
        <w:p w:rsidR="00E944C2" w:rsidRDefault="00290C90" w:rsidP="00316155">
          <w:pPr>
            <w:pStyle w:val="TOC3"/>
            <w:tabs>
              <w:tab w:val="right" w:leader="dot" w:pos="9350"/>
            </w:tabs>
            <w:jc w:val="both"/>
            <w:rPr>
              <w:rFonts w:asciiTheme="minorHAnsi" w:eastAsiaTheme="minorEastAsia" w:hAnsiTheme="minorHAnsi" w:cstheme="minorBidi"/>
              <w:noProof/>
            </w:rPr>
          </w:pPr>
          <w:hyperlink w:anchor="_Toc212039596" w:history="1">
            <w:r w:rsidR="00F7666C">
              <w:rPr>
                <w:rStyle w:val="Hyperlink"/>
                <w:noProof/>
              </w:rPr>
              <w:t>3.5.17. Kultura i društveni razvoj</w:t>
            </w:r>
            <w:r w:rsidR="00F7666C">
              <w:rPr>
                <w:noProof/>
              </w:rPr>
              <w:tab/>
            </w:r>
            <w:r>
              <w:rPr>
                <w:noProof/>
              </w:rPr>
              <w:fldChar w:fldCharType="begin"/>
            </w:r>
            <w:r w:rsidR="00F7666C">
              <w:rPr>
                <w:noProof/>
              </w:rPr>
              <w:instrText xml:space="preserve"> PAGEREF _Toc212039596 \h </w:instrText>
            </w:r>
            <w:r>
              <w:rPr>
                <w:noProof/>
              </w:rPr>
            </w:r>
            <w:r>
              <w:rPr>
                <w:noProof/>
              </w:rPr>
              <w:fldChar w:fldCharType="separate"/>
            </w:r>
            <w:r w:rsidR="00945639">
              <w:rPr>
                <w:noProof/>
              </w:rPr>
              <w:t>125</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7" w:history="1">
            <w:r w:rsidR="00F7666C">
              <w:rPr>
                <w:rStyle w:val="Hyperlink"/>
                <w:noProof/>
              </w:rPr>
              <w:t>3.5. 18. Podrška mladima i razvoj omladinske politike</w:t>
            </w:r>
            <w:r w:rsidR="00F7666C">
              <w:rPr>
                <w:noProof/>
              </w:rPr>
              <w:tab/>
            </w:r>
            <w:r>
              <w:rPr>
                <w:noProof/>
              </w:rPr>
              <w:fldChar w:fldCharType="begin"/>
            </w:r>
            <w:r w:rsidR="00F7666C">
              <w:rPr>
                <w:noProof/>
              </w:rPr>
              <w:instrText xml:space="preserve"> PAGEREF _Toc212039597 \h </w:instrText>
            </w:r>
            <w:r>
              <w:rPr>
                <w:noProof/>
              </w:rPr>
            </w:r>
            <w:r>
              <w:rPr>
                <w:noProof/>
              </w:rPr>
              <w:fldChar w:fldCharType="separate"/>
            </w:r>
            <w:r w:rsidR="00945639">
              <w:rPr>
                <w:noProof/>
              </w:rPr>
              <w:t>131</w:t>
            </w:r>
            <w:r>
              <w:rPr>
                <w:noProof/>
              </w:rPr>
              <w:fldChar w:fldCharType="end"/>
            </w:r>
          </w:hyperlink>
        </w:p>
        <w:p w:rsidR="00E944C2" w:rsidRDefault="00290C90" w:rsidP="00F5472A">
          <w:pPr>
            <w:pStyle w:val="TOC3"/>
            <w:tabs>
              <w:tab w:val="right" w:leader="dot" w:pos="9350"/>
            </w:tabs>
            <w:jc w:val="both"/>
            <w:rPr>
              <w:rFonts w:asciiTheme="minorHAnsi" w:eastAsiaTheme="minorEastAsia" w:hAnsiTheme="minorHAnsi" w:cstheme="minorBidi"/>
              <w:noProof/>
            </w:rPr>
          </w:pPr>
          <w:hyperlink w:anchor="_Toc212039598" w:history="1">
            <w:r w:rsidR="00F7666C">
              <w:rPr>
                <w:rStyle w:val="Hyperlink"/>
                <w:noProof/>
              </w:rPr>
              <w:t>3.5.19. Regulatorne reforme</w:t>
            </w:r>
            <w:r w:rsidR="00F7666C">
              <w:rPr>
                <w:noProof/>
              </w:rPr>
              <w:tab/>
            </w:r>
            <w:r>
              <w:rPr>
                <w:noProof/>
              </w:rPr>
              <w:fldChar w:fldCharType="begin"/>
            </w:r>
            <w:r w:rsidR="00F7666C">
              <w:rPr>
                <w:noProof/>
              </w:rPr>
              <w:instrText xml:space="preserve"> PAGEREF _Toc212039598 \h </w:instrText>
            </w:r>
            <w:r>
              <w:rPr>
                <w:noProof/>
              </w:rPr>
            </w:r>
            <w:r>
              <w:rPr>
                <w:noProof/>
              </w:rPr>
              <w:fldChar w:fldCharType="separate"/>
            </w:r>
            <w:r w:rsidR="00945639">
              <w:rPr>
                <w:noProof/>
              </w:rPr>
              <w:t>132</w:t>
            </w:r>
            <w:r>
              <w:rPr>
                <w:noProof/>
              </w:rPr>
              <w:fldChar w:fldCharType="end"/>
            </w:r>
          </w:hyperlink>
        </w:p>
        <w:p w:rsidR="00E944C2" w:rsidRDefault="00290C90" w:rsidP="00F5472A">
          <w:pPr>
            <w:pStyle w:val="TOC1"/>
            <w:tabs>
              <w:tab w:val="right" w:leader="dot" w:pos="9350"/>
            </w:tabs>
            <w:jc w:val="both"/>
            <w:rPr>
              <w:rFonts w:asciiTheme="minorHAnsi" w:eastAsiaTheme="minorEastAsia" w:hAnsiTheme="minorHAnsi" w:cstheme="minorBidi"/>
              <w:noProof/>
            </w:rPr>
          </w:pPr>
          <w:hyperlink w:anchor="_Toc212039599" w:history="1">
            <w:r w:rsidR="00F7666C">
              <w:rPr>
                <w:rStyle w:val="Hyperlink"/>
                <w:noProof/>
              </w:rPr>
              <w:t>4. PLAN IMPLEMENTACIJE</w:t>
            </w:r>
            <w:r w:rsidR="00F7666C">
              <w:rPr>
                <w:noProof/>
              </w:rPr>
              <w:tab/>
            </w:r>
            <w:r>
              <w:rPr>
                <w:noProof/>
              </w:rPr>
              <w:fldChar w:fldCharType="begin"/>
            </w:r>
            <w:r w:rsidR="00F7666C">
              <w:rPr>
                <w:noProof/>
              </w:rPr>
              <w:instrText xml:space="preserve"> PAGEREF _Toc212039599 \h </w:instrText>
            </w:r>
            <w:r>
              <w:rPr>
                <w:noProof/>
              </w:rPr>
            </w:r>
            <w:r>
              <w:rPr>
                <w:noProof/>
              </w:rPr>
              <w:fldChar w:fldCharType="separate"/>
            </w:r>
            <w:r w:rsidR="00945639">
              <w:rPr>
                <w:noProof/>
              </w:rPr>
              <w:t>134</w:t>
            </w:r>
            <w:r>
              <w:rPr>
                <w:noProof/>
              </w:rPr>
              <w:fldChar w:fldCharType="end"/>
            </w:r>
          </w:hyperlink>
        </w:p>
        <w:p w:rsidR="00E944C2" w:rsidRDefault="00290C90" w:rsidP="00F5472A">
          <w:pPr>
            <w:pStyle w:val="TOC2"/>
            <w:tabs>
              <w:tab w:val="right" w:leader="dot" w:pos="9350"/>
            </w:tabs>
            <w:jc w:val="both"/>
            <w:rPr>
              <w:rFonts w:asciiTheme="minorHAnsi" w:eastAsiaTheme="minorEastAsia" w:hAnsiTheme="minorHAnsi" w:cstheme="minorBidi"/>
              <w:noProof/>
            </w:rPr>
          </w:pPr>
          <w:hyperlink w:anchor="_Toc212039600" w:history="1">
            <w:r w:rsidR="00F7666C">
              <w:rPr>
                <w:rStyle w:val="Hyperlink"/>
                <w:noProof/>
              </w:rPr>
              <w:t>4.1. Uključivanje zainteresovanih strana</w:t>
            </w:r>
            <w:r w:rsidR="00F7666C">
              <w:rPr>
                <w:noProof/>
              </w:rPr>
              <w:tab/>
            </w:r>
            <w:r>
              <w:rPr>
                <w:noProof/>
              </w:rPr>
              <w:fldChar w:fldCharType="begin"/>
            </w:r>
            <w:r w:rsidR="00F7666C">
              <w:rPr>
                <w:noProof/>
              </w:rPr>
              <w:instrText xml:space="preserve"> PAGEREF _Toc212039600 \h </w:instrText>
            </w:r>
            <w:r>
              <w:rPr>
                <w:noProof/>
              </w:rPr>
            </w:r>
            <w:r>
              <w:rPr>
                <w:noProof/>
              </w:rPr>
              <w:fldChar w:fldCharType="separate"/>
            </w:r>
            <w:r w:rsidR="00945639">
              <w:rPr>
                <w:noProof/>
              </w:rPr>
              <w:t>134</w:t>
            </w:r>
            <w:r>
              <w:rPr>
                <w:noProof/>
              </w:rPr>
              <w:fldChar w:fldCharType="end"/>
            </w:r>
          </w:hyperlink>
        </w:p>
        <w:p w:rsidR="00E944C2" w:rsidRDefault="00290C90" w:rsidP="00F5472A">
          <w:pPr>
            <w:pStyle w:val="TOC2"/>
            <w:tabs>
              <w:tab w:val="right" w:leader="dot" w:pos="9350"/>
            </w:tabs>
            <w:jc w:val="both"/>
            <w:rPr>
              <w:rFonts w:asciiTheme="minorHAnsi" w:eastAsiaTheme="minorEastAsia" w:hAnsiTheme="minorHAnsi" w:cstheme="minorBidi"/>
              <w:noProof/>
            </w:rPr>
          </w:pPr>
          <w:hyperlink w:anchor="_Toc212039601" w:history="1">
            <w:r w:rsidR="00F7666C">
              <w:rPr>
                <w:rStyle w:val="Hyperlink"/>
                <w:noProof/>
              </w:rPr>
              <w:t>4.2.  Praćenje i evaluacija</w:t>
            </w:r>
            <w:r w:rsidR="00F7666C">
              <w:rPr>
                <w:noProof/>
              </w:rPr>
              <w:tab/>
            </w:r>
            <w:r>
              <w:rPr>
                <w:noProof/>
              </w:rPr>
              <w:fldChar w:fldCharType="begin"/>
            </w:r>
            <w:r w:rsidR="00F7666C">
              <w:rPr>
                <w:noProof/>
              </w:rPr>
              <w:instrText xml:space="preserve"> PAGEREF _Toc212039601 \h </w:instrText>
            </w:r>
            <w:r>
              <w:rPr>
                <w:noProof/>
              </w:rPr>
            </w:r>
            <w:r>
              <w:rPr>
                <w:noProof/>
              </w:rPr>
              <w:fldChar w:fldCharType="separate"/>
            </w:r>
            <w:r w:rsidR="00945639">
              <w:rPr>
                <w:noProof/>
              </w:rPr>
              <w:t>134</w:t>
            </w:r>
            <w:r>
              <w:rPr>
                <w:noProof/>
              </w:rPr>
              <w:fldChar w:fldCharType="end"/>
            </w:r>
          </w:hyperlink>
        </w:p>
        <w:p w:rsidR="00E944C2" w:rsidRDefault="00290C90" w:rsidP="00F5472A">
          <w:pPr>
            <w:pStyle w:val="TOC1"/>
            <w:tabs>
              <w:tab w:val="right" w:leader="dot" w:pos="9350"/>
            </w:tabs>
            <w:jc w:val="both"/>
            <w:rPr>
              <w:rFonts w:asciiTheme="minorHAnsi" w:eastAsiaTheme="minorEastAsia" w:hAnsiTheme="minorHAnsi" w:cstheme="minorBidi"/>
              <w:noProof/>
            </w:rPr>
          </w:pPr>
          <w:hyperlink w:anchor="_Toc212039602" w:history="1">
            <w:r w:rsidR="00F7666C">
              <w:rPr>
                <w:rStyle w:val="Hyperlink"/>
                <w:noProof/>
              </w:rPr>
              <w:t>5. ZAKLJUČAK</w:t>
            </w:r>
            <w:r w:rsidR="00F7666C">
              <w:rPr>
                <w:noProof/>
              </w:rPr>
              <w:tab/>
            </w:r>
            <w:r>
              <w:rPr>
                <w:noProof/>
              </w:rPr>
              <w:fldChar w:fldCharType="begin"/>
            </w:r>
            <w:r w:rsidR="00F7666C">
              <w:rPr>
                <w:noProof/>
              </w:rPr>
              <w:instrText xml:space="preserve"> PAGEREF _Toc212039602 \h </w:instrText>
            </w:r>
            <w:r>
              <w:rPr>
                <w:noProof/>
              </w:rPr>
            </w:r>
            <w:r>
              <w:rPr>
                <w:noProof/>
              </w:rPr>
              <w:fldChar w:fldCharType="separate"/>
            </w:r>
            <w:r w:rsidR="00945639">
              <w:rPr>
                <w:noProof/>
              </w:rPr>
              <w:t>135</w:t>
            </w:r>
            <w:r>
              <w:rPr>
                <w:noProof/>
              </w:rPr>
              <w:fldChar w:fldCharType="end"/>
            </w:r>
          </w:hyperlink>
        </w:p>
        <w:p w:rsidR="00E944C2" w:rsidRDefault="00290C90" w:rsidP="00F5472A">
          <w:pPr>
            <w:pStyle w:val="TOC1"/>
            <w:tabs>
              <w:tab w:val="right" w:leader="dot" w:pos="9350"/>
            </w:tabs>
            <w:jc w:val="both"/>
            <w:rPr>
              <w:rFonts w:asciiTheme="minorHAnsi" w:eastAsiaTheme="minorEastAsia" w:hAnsiTheme="minorHAnsi" w:cstheme="minorBidi"/>
            </w:rPr>
          </w:pPr>
          <w:hyperlink w:anchor="_Toc212039603" w:history="1">
            <w:r w:rsidR="00F7666C">
              <w:rPr>
                <w:rStyle w:val="Hyperlink"/>
                <w:rFonts w:eastAsia="Times New Roman" w:cs="Times New Roman"/>
                <w:noProof/>
              </w:rPr>
              <w:t>Razvojni ciljevi Glavnog grada</w:t>
            </w:r>
            <w:r w:rsidR="00F7666C">
              <w:rPr>
                <w:noProof/>
              </w:rPr>
              <w:tab/>
            </w:r>
            <w:r>
              <w:rPr>
                <w:noProof/>
              </w:rPr>
              <w:fldChar w:fldCharType="begin"/>
            </w:r>
            <w:r w:rsidR="00F7666C">
              <w:rPr>
                <w:noProof/>
              </w:rPr>
              <w:instrText xml:space="preserve"> PAGEREF _Toc212039603 \h </w:instrText>
            </w:r>
            <w:r>
              <w:rPr>
                <w:noProof/>
              </w:rPr>
            </w:r>
            <w:r>
              <w:rPr>
                <w:noProof/>
              </w:rPr>
              <w:fldChar w:fldCharType="separate"/>
            </w:r>
            <w:r w:rsidR="00945639">
              <w:rPr>
                <w:noProof/>
              </w:rPr>
              <w:t>138</w:t>
            </w:r>
            <w:r>
              <w:rPr>
                <w:noProof/>
              </w:rPr>
              <w:fldChar w:fldCharType="end"/>
            </w:r>
          </w:hyperlink>
          <w:r>
            <w:fldChar w:fldCharType="end"/>
          </w:r>
        </w:p>
      </w:sdtContent>
    </w:sdt>
    <w:p w:rsidR="00E944C2" w:rsidRDefault="00E944C2" w:rsidP="00316155">
      <w:pPr>
        <w:pStyle w:val="Normal1"/>
        <w:jc w:val="both"/>
        <w:rPr>
          <w:rFonts w:ascii="Times New Roman" w:eastAsia="Times New Roman" w:hAnsi="Times New Roman" w:cs="Times New Roman"/>
          <w:b/>
          <w:sz w:val="24"/>
          <w:szCs w:val="24"/>
        </w:rPr>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F7666C" w:rsidP="00316155">
      <w:pPr>
        <w:pStyle w:val="Heading1"/>
        <w:jc w:val="both"/>
        <w:rPr>
          <w:szCs w:val="28"/>
        </w:rPr>
      </w:pPr>
      <w:bookmarkStart w:id="0" w:name="_Toc212039490"/>
      <w:r>
        <w:rPr>
          <w:szCs w:val="28"/>
        </w:rPr>
        <w:t>1. UVOD</w:t>
      </w:r>
      <w:bookmarkEnd w:id="0"/>
    </w:p>
    <w:p w:rsidR="00E944C2" w:rsidRDefault="00E944C2" w:rsidP="00316155">
      <w:pPr>
        <w:pStyle w:val="Normal1"/>
        <w:jc w:val="both"/>
      </w:pPr>
    </w:p>
    <w:p w:rsidR="00E944C2" w:rsidRDefault="00F7666C" w:rsidP="00316155">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PRIKAZ STRATEŠKOG PLANA RAZVOJA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skladu sa Zakonom o regionalnom razvoju Službeni list Crne Gore”, broj 20/11, 26/11, 20/15, 47/19, i Pravilnikom o metodologiji za izradu strateškog plana razvoja jedinice lokalne samouprave </w:t>
      </w:r>
      <w:r>
        <w:rPr>
          <w:rFonts w:ascii="Times New Roman" w:eastAsia="Times New Roman" w:hAnsi="Times New Roman" w:cs="Times New Roman"/>
          <w:sz w:val="24"/>
          <w:szCs w:val="24"/>
          <w:highlight w:val="white"/>
        </w:rPr>
        <w:t>(Sl. list Crne Gore br. 68/16)</w:t>
      </w:r>
      <w:r>
        <w:rPr>
          <w:rFonts w:ascii="Times New Roman" w:eastAsia="Times New Roman" w:hAnsi="Times New Roman" w:cs="Times New Roman"/>
          <w:sz w:val="24"/>
          <w:szCs w:val="24"/>
        </w:rPr>
        <w:t xml:space="preserve">, kao i </w:t>
      </w:r>
      <w:r>
        <w:rPr>
          <w:rFonts w:ascii="Times New Roman" w:eastAsia="Times New Roman" w:hAnsi="Times New Roman" w:cs="Times New Roman"/>
          <w:sz w:val="24"/>
          <w:szCs w:val="24"/>
          <w:highlight w:val="white"/>
        </w:rPr>
        <w:t>Strategijom regionalnog razvoja Crne Gore 2023-2027,</w:t>
      </w:r>
      <w:r>
        <w:rPr>
          <w:rFonts w:ascii="Times New Roman" w:eastAsia="Times New Roman" w:hAnsi="Times New Roman" w:cs="Times New Roman"/>
          <w:sz w:val="24"/>
          <w:szCs w:val="24"/>
        </w:rPr>
        <w:t xml:space="preserve"> Glavni grad Podgorica pristupio je izradi Strateškog plana razvoja Glavnog grada Podgorica za period 2026-2031. godine. Prihvatajući strateško planiranje kao osnovni razvojni mehanizam, izradom Strateškog plana razvoja, lokalna uprava nastoji da stvori uslove za brži održivi razvoj grada.</w:t>
      </w:r>
    </w:p>
    <w:p w:rsidR="00E944C2" w:rsidRDefault="00F7666C" w:rsidP="00316155">
      <w:pPr>
        <w:pStyle w:val="Normal1"/>
        <w:numPr>
          <w:ilvl w:val="0"/>
          <w:numId w:val="1"/>
        </w:numPr>
        <w:spacing w:line="360" w:lineRule="auto"/>
        <w:jc w:val="both"/>
      </w:pPr>
      <w:r>
        <w:rPr>
          <w:rFonts w:ascii="Times New Roman" w:eastAsia="Times New Roman" w:hAnsi="Times New Roman" w:cs="Times New Roman"/>
          <w:sz w:val="24"/>
          <w:szCs w:val="24"/>
        </w:rPr>
        <w:t>Pregled dokumenta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Strateški plan razvoja Glavnog grada Podgorica za period 2026–2031. predstavlja ključni razvojni dokument koji definiše viziju, ciljeve i strategije razvoja Glavnog grada Crne Gore. Ovaj dokument je izrađen u skladu sa važećim zakonodavnim okvirima. Fokus plana je na održivom razvoju, unapređenju infrastrukture, ekonomskom rastu, zaštiti životne sredine i podizanju kvaliteta života građana.</w:t>
      </w:r>
    </w:p>
    <w:p w:rsidR="00E944C2" w:rsidRDefault="00F7666C" w:rsidP="00E36C81">
      <w:pPr>
        <w:pStyle w:val="Normal1"/>
        <w:spacing w:line="36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Dokument uključuje sveobuhvatnu analizu trenutnog stanja, SWOT analizu, identifikaciju strateških ciljeva i prioriteta, kao i detaljan plan implementacije i evaluacije. Izrađen kroz inkluzivan proces, plan osigurava aktivno učešće svih ključnih interesnih grupa, uključujući predstavnike javnog sektora, privatnog sektora, nevladinih organizacija i građana.</w:t>
      </w:r>
    </w:p>
    <w:p w:rsidR="00E944C2" w:rsidRDefault="00F7666C" w:rsidP="00316155">
      <w:pPr>
        <w:pStyle w:val="Normal1"/>
        <w:numPr>
          <w:ilvl w:val="0"/>
          <w:numId w:val="1"/>
        </w:numPr>
        <w:spacing w:line="360" w:lineRule="auto"/>
        <w:jc w:val="both"/>
      </w:pPr>
      <w:r>
        <w:rPr>
          <w:rFonts w:ascii="Times New Roman" w:eastAsia="Times New Roman" w:hAnsi="Times New Roman" w:cs="Times New Roman"/>
          <w:sz w:val="24"/>
          <w:szCs w:val="24"/>
        </w:rPr>
        <w:t>Ciljevi strateškog plana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ciljevi Strateškog plana razvoja Podgorice za period 2026–2031. koji su u nastavku detaljno razrađeni, uključuju: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Održivi razvoj, urbanizacija i zaštita životne sredine</w:t>
      </w:r>
      <w:r>
        <w:rPr>
          <w:rFonts w:ascii="Times New Roman" w:eastAsia="Times New Roman" w:hAnsi="Times New Roman" w:cs="Times New Roman"/>
          <w:sz w:val="24"/>
          <w:szCs w:val="24"/>
        </w:rPr>
        <w:t>: Rješavanje izazova urbanizacije kroz plansku izgradnju, unapređenje prostorno-planske dokumentacije i efikasno korišćenje prostora. Fokus na smanjenje emisija štetnih gasova, povećanje energetske efikasnosti i unapređenje sistema upravljanja otpadom, uz očuvanje prirodnih resursa i zaštitu biodiverziteta.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Unapređenje infrastrukture</w:t>
      </w:r>
      <w:r>
        <w:rPr>
          <w:rFonts w:ascii="Times New Roman" w:eastAsia="Times New Roman" w:hAnsi="Times New Roman" w:cs="Times New Roman"/>
          <w:sz w:val="24"/>
          <w:szCs w:val="24"/>
        </w:rPr>
        <w:t>: Modernizacija transportne mreže, razvoj komunalne i energetske infrastrukture, kao i digitalizacija gradskih servisa.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Ekonomski rast i inovacije</w:t>
      </w:r>
      <w:r>
        <w:rPr>
          <w:rFonts w:ascii="Times New Roman" w:eastAsia="Times New Roman" w:hAnsi="Times New Roman" w:cs="Times New Roman"/>
          <w:sz w:val="24"/>
          <w:szCs w:val="24"/>
        </w:rPr>
        <w:t>: Privlačenje investicija, jačanje sektora preduzetništva, podrška razvoju tehnoloških parkova i fokus na IT sektor.</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Poboljšanje kvaliteta života</w:t>
      </w:r>
      <w:r>
        <w:rPr>
          <w:rFonts w:ascii="Times New Roman" w:eastAsia="Times New Roman" w:hAnsi="Times New Roman" w:cs="Times New Roman"/>
          <w:sz w:val="24"/>
          <w:szCs w:val="24"/>
        </w:rPr>
        <w:t>: Jačanje obrazovnog i zdravstvenog sistema, unapređenje kulturnih i sportskih sadržaja, te povećanje inkluzivnosti i socijalne pravde.</w:t>
      </w:r>
    </w:p>
    <w:p w:rsidR="00E944C2" w:rsidRDefault="00F7666C" w:rsidP="00E36C81">
      <w:pPr>
        <w:pStyle w:val="Normal1"/>
        <w:spacing w:line="36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b/>
          <w:sz w:val="24"/>
          <w:szCs w:val="24"/>
        </w:rPr>
        <w:t>Promocija turizma i očuvanje kulturnog nasleđa</w:t>
      </w:r>
      <w:r>
        <w:rPr>
          <w:rFonts w:ascii="Times New Roman" w:eastAsia="Times New Roman" w:hAnsi="Times New Roman" w:cs="Times New Roman"/>
          <w:sz w:val="24"/>
          <w:szCs w:val="24"/>
        </w:rPr>
        <w:t>: Razvoj turističkih kapaciteta uz očuvanje prirodnih i kulturnih resursa.</w:t>
      </w:r>
    </w:p>
    <w:p w:rsidR="00E944C2" w:rsidRDefault="00F7666C" w:rsidP="00316155">
      <w:pPr>
        <w:pStyle w:val="Normal1"/>
        <w:numPr>
          <w:ilvl w:val="0"/>
          <w:numId w:val="1"/>
        </w:numPr>
        <w:spacing w:line="360" w:lineRule="auto"/>
        <w:jc w:val="both"/>
      </w:pPr>
      <w:r>
        <w:rPr>
          <w:rFonts w:ascii="Times New Roman" w:eastAsia="Times New Roman" w:hAnsi="Times New Roman" w:cs="Times New Roman"/>
          <w:sz w:val="24"/>
          <w:szCs w:val="24"/>
        </w:rPr>
        <w:t>Metodologija i pristup</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Strateškog plana razvoja Glavnog grada zasnivala se na participativnom i inkluzivnom pristupu. Proces je bio podijeljen u nekoliko ključnih faza: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Prikupljanje podataka i analiza trenutnog stanja</w:t>
      </w:r>
      <w:r>
        <w:rPr>
          <w:rFonts w:ascii="Times New Roman" w:eastAsia="Times New Roman" w:hAnsi="Times New Roman" w:cs="Times New Roman"/>
          <w:sz w:val="24"/>
          <w:szCs w:val="24"/>
        </w:rPr>
        <w:t>: Podaci su prikupljeni kroz saradnju sa relevantnim institucijama i analizirani kako bi se dobio uvid u postojeće stanje i razvojne potencijale.</w:t>
      </w:r>
    </w:p>
    <w:p w:rsidR="00E944C2" w:rsidRPr="00F7666C" w:rsidRDefault="00E944C2" w:rsidP="00E36C81">
      <w:pPr>
        <w:pStyle w:val="Normal1"/>
        <w:spacing w:line="360" w:lineRule="auto"/>
        <w:jc w:val="both"/>
        <w:rPr>
          <w:rFonts w:ascii="Times New Roman" w:eastAsia="Times New Roman" w:hAnsi="Times New Roman" w:cs="Times New Roman"/>
          <w:sz w:val="24"/>
          <w:szCs w:val="24"/>
        </w:rPr>
      </w:pPr>
      <w:r w:rsidRPr="00F7666C">
        <w:rPr>
          <w:rFonts w:ascii="Times New Roman" w:eastAsia="Times New Roman" w:hAnsi="Times New Roman" w:cs="Times New Roman"/>
          <w:b/>
          <w:sz w:val="24"/>
          <w:szCs w:val="24"/>
        </w:rPr>
        <w:t>SWOT analiza</w:t>
      </w:r>
      <w:r w:rsidRPr="00F7666C">
        <w:rPr>
          <w:rFonts w:ascii="Times New Roman" w:eastAsia="Times New Roman" w:hAnsi="Times New Roman" w:cs="Times New Roman"/>
          <w:sz w:val="24"/>
          <w:szCs w:val="24"/>
        </w:rPr>
        <w:t>: Identifikacija snaga, slabosti, prilika i prijetnji kako bi se strateški pristupi</w:t>
      </w:r>
      <w:r w:rsidR="00F7666C" w:rsidRPr="00F7666C">
        <w:rPr>
          <w:rFonts w:ascii="Times New Roman" w:eastAsia="Times New Roman" w:hAnsi="Times New Roman" w:cs="Times New Roman"/>
          <w:sz w:val="24"/>
          <w:szCs w:val="24"/>
        </w:rPr>
        <w:t>l</w:t>
      </w:r>
      <w:r w:rsidRPr="00F7666C">
        <w:rPr>
          <w:rFonts w:ascii="Times New Roman" w:eastAsia="Times New Roman" w:hAnsi="Times New Roman" w:cs="Times New Roman"/>
          <w:sz w:val="24"/>
          <w:szCs w:val="24"/>
        </w:rPr>
        <w:t xml:space="preserve">o </w:t>
      </w:r>
      <w:r w:rsidR="00F7666C" w:rsidRPr="00F7666C">
        <w:rPr>
          <w:rFonts w:ascii="Times New Roman" w:eastAsia="Times New Roman" w:hAnsi="Times New Roman" w:cs="Times New Roman"/>
          <w:sz w:val="24"/>
          <w:szCs w:val="24"/>
        </w:rPr>
        <w:t>planiranju, a bazirano na konkretnim indikatorima.</w:t>
      </w:r>
    </w:p>
    <w:p w:rsidR="00E944C2" w:rsidRPr="00F7666C" w:rsidRDefault="00E944C2" w:rsidP="00E36C81">
      <w:pPr>
        <w:pStyle w:val="Normal1"/>
        <w:spacing w:line="360" w:lineRule="auto"/>
        <w:jc w:val="both"/>
        <w:rPr>
          <w:rFonts w:ascii="Times New Roman" w:eastAsia="Times New Roman" w:hAnsi="Times New Roman" w:cs="Times New Roman"/>
          <w:sz w:val="24"/>
          <w:szCs w:val="24"/>
        </w:rPr>
      </w:pPr>
      <w:r w:rsidRPr="00F7666C">
        <w:rPr>
          <w:rFonts w:ascii="Times New Roman" w:eastAsia="Times New Roman" w:hAnsi="Times New Roman" w:cs="Times New Roman"/>
          <w:b/>
          <w:sz w:val="24"/>
          <w:szCs w:val="24"/>
        </w:rPr>
        <w:t>Formiranje radnih i konsultativnih grupa</w:t>
      </w:r>
      <w:r w:rsidRPr="00F7666C">
        <w:rPr>
          <w:rFonts w:ascii="Times New Roman" w:eastAsia="Times New Roman" w:hAnsi="Times New Roman" w:cs="Times New Roman"/>
          <w:sz w:val="24"/>
          <w:szCs w:val="24"/>
        </w:rPr>
        <w:t>: Aktivno učešće predstavnika organa i službi Glavnog grada, javnog, privatnog i nevladinog sektora, kako bi se osigurala sveobuhvatnost i objektivnost plana.</w:t>
      </w:r>
    </w:p>
    <w:p w:rsidR="00E944C2" w:rsidRDefault="00F92637"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Postavljanje ciljeva i prioriteta</w:t>
      </w:r>
      <w:r>
        <w:rPr>
          <w:rFonts w:ascii="Times New Roman" w:eastAsia="Times New Roman" w:hAnsi="Times New Roman" w:cs="Times New Roman"/>
          <w:sz w:val="24"/>
          <w:szCs w:val="24"/>
        </w:rPr>
        <w:t xml:space="preserve">: Ciljevi su definisani u skladu sa strateškim pravcima razvoja i potrebama lokalne </w:t>
      </w:r>
      <w:r w:rsidR="00F7666C" w:rsidRPr="00F7666C">
        <w:rPr>
          <w:rFonts w:ascii="Times New Roman" w:eastAsia="Times New Roman" w:hAnsi="Times New Roman" w:cs="Times New Roman"/>
          <w:sz w:val="24"/>
          <w:szCs w:val="24"/>
        </w:rPr>
        <w:t>i biznis zajednice.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Plan implementacije i evaluacije</w:t>
      </w:r>
      <w:r>
        <w:rPr>
          <w:rFonts w:ascii="Times New Roman" w:eastAsia="Times New Roman" w:hAnsi="Times New Roman" w:cs="Times New Roman"/>
          <w:sz w:val="24"/>
          <w:szCs w:val="24"/>
        </w:rPr>
        <w:t>: Razvijen je detaljan okvir za praćenje i ocjenu sprovođenja plana, uz definisanje jasnih pokazatelja uspjeha i jasne podjele odgovornosti.</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Proces je pažljivo osmišljen kako bi se osiguralo aktivno i značajno učešće predstavnika javnog i privatnog sektora u strateškom planiranju, čime se naglašava važnost njihove saradnje za postizanje dugoročnog i održivog razvoja. Kroz inkluzivni participativni proces u kojem su najmanje 30% članova radnih grupa činili predstavnici privrede omogućili smo da različite perspektive i iskustva doprinesu sveobuhvatnom i održivom planu razvoja. Uključivanjem vodećih lokalnih kompanija osigurava se da plan odražava realne potrebe i kapacitete privrede, čime se dodatno jača partnerstvo između privatnog i javnog sektora u cilju postizanja zajedničkog prosperiteta.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yellow"/>
        </w:rPr>
      </w:pPr>
      <w:r>
        <w:rPr>
          <w:rFonts w:ascii="Times New Roman" w:eastAsia="Times New Roman" w:hAnsi="Times New Roman" w:cs="Times New Roman"/>
          <w:sz w:val="24"/>
          <w:szCs w:val="24"/>
        </w:rPr>
        <w:t xml:space="preserve">Kriterijumi za izradu Strateškog plana razvoja Glavnog grada Podgorica, kako je predviđeno Business Friendly Certificate (BFC) SEE priručnikom Regionalnog tehničkog sekretarijata (NALED) i Tehničkog komiteta za povoljno poslovno okruženje u Jugoistočnoj Evropi, su pažljivo ispunjeni.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Zadatak Radne grupe bio je da prikuplja podatake i informacije u vezi sa postojećim stanjem razvoja Glavnog grada i ostale potrebne podatke i dostavlja ih Konsultativnoj grupi za izradu Prijedloga Strateškog plana; prikuplja podatke za izradu nacrta SWOT analize i dostavlja iste Konsultativnoj grupi za izradu Prijedloga Strateškog plana; priprema inicijalne verzije poglavlja Strateškog plana razvoja; prikuplja i analizira komentare od strane Konsultativne grupe i unosi izmjene; obavlja stručno-administrativne poslove i druge poslove za Konsultativnu grupu.</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Uzimajući u obzir navedeno, formirana je </w:t>
      </w:r>
      <w:r w:rsidRPr="00316155">
        <w:rPr>
          <w:rFonts w:ascii="Times New Roman" w:eastAsia="Times New Roman" w:hAnsi="Times New Roman" w:cs="Times New Roman"/>
          <w:sz w:val="24"/>
          <w:szCs w:val="24"/>
        </w:rPr>
        <w:t>Radna grupa</w:t>
      </w:r>
      <w:r>
        <w:rPr>
          <w:rFonts w:ascii="Times New Roman" w:eastAsia="Times New Roman" w:hAnsi="Times New Roman" w:cs="Times New Roman"/>
          <w:sz w:val="24"/>
          <w:szCs w:val="24"/>
        </w:rPr>
        <w:t xml:space="preserve"> za izradu Strateškog plana razvoja Glavnog grada Podgorica, u sastavu:</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Konsultativna grupa igra ključnu ulogu u izradi i sprovođenju Strateškog plana razvoja Podgorice za period 2026–2031. </w:t>
      </w:r>
    </w:p>
    <w:p w:rsidR="00E944C2" w:rsidRPr="00316155" w:rsidRDefault="00F7666C" w:rsidP="00E36C81">
      <w:pPr>
        <w:pStyle w:val="Normal1"/>
        <w:spacing w:before="240" w:after="240" w:line="360" w:lineRule="auto"/>
        <w:jc w:val="both"/>
        <w:rPr>
          <w:rFonts w:ascii="Times New Roman" w:eastAsia="Times New Roman" w:hAnsi="Times New Roman" w:cs="Times New Roman"/>
          <w:sz w:val="24"/>
          <w:szCs w:val="24"/>
        </w:rPr>
      </w:pPr>
      <w:r w:rsidRPr="00316155">
        <w:rPr>
          <w:rFonts w:ascii="Times New Roman" w:eastAsia="Times New Roman" w:hAnsi="Times New Roman" w:cs="Times New Roman"/>
          <w:sz w:val="24"/>
          <w:szCs w:val="24"/>
        </w:rPr>
        <w:t>Radna grupa:</w:t>
      </w:r>
    </w:p>
    <w:p w:rsidR="00D11019" w:rsidRPr="00D11019" w:rsidRDefault="00D11019" w:rsidP="00E36C81">
      <w:pPr>
        <w:pStyle w:val="Normal1"/>
        <w:spacing w:before="240" w:after="240" w:line="360" w:lineRule="auto"/>
        <w:jc w:val="both"/>
        <w:rPr>
          <w:rFonts w:ascii="Times New Roman" w:eastAsia="Times New Roman" w:hAnsi="Times New Roman" w:cs="Times New Roman"/>
          <w:sz w:val="24"/>
          <w:szCs w:val="24"/>
        </w:rPr>
      </w:pPr>
      <w:r w:rsidRPr="00D11019">
        <w:rPr>
          <w:rFonts w:ascii="Times New Roman" w:eastAsia="Times New Roman" w:hAnsi="Times New Roman" w:cs="Times New Roman"/>
          <w:sz w:val="24"/>
          <w:szCs w:val="24"/>
        </w:rPr>
        <w:t>1. Vesna Brajović, Glavni grad, rukovoditeljka Službe gradonačelnika, Koordinator</w:t>
      </w:r>
      <w:r>
        <w:rPr>
          <w:rFonts w:ascii="Times New Roman" w:eastAsia="Times New Roman" w:hAnsi="Times New Roman" w:cs="Times New Roman"/>
          <w:sz w:val="24"/>
          <w:szCs w:val="24"/>
        </w:rPr>
        <w:t>ka</w:t>
      </w:r>
      <w:r w:rsidRPr="00D11019">
        <w:rPr>
          <w:rFonts w:ascii="Times New Roman" w:eastAsia="Times New Roman" w:hAnsi="Times New Roman" w:cs="Times New Roman"/>
          <w:sz w:val="24"/>
          <w:szCs w:val="24"/>
        </w:rPr>
        <w:t>;</w:t>
      </w:r>
    </w:p>
    <w:p w:rsidR="00D11019" w:rsidRPr="00D11019" w:rsidRDefault="00D11019" w:rsidP="00E36C81">
      <w:pPr>
        <w:pStyle w:val="Normal1"/>
        <w:spacing w:before="240" w:after="240" w:line="360" w:lineRule="auto"/>
        <w:jc w:val="both"/>
        <w:rPr>
          <w:rFonts w:ascii="Times New Roman" w:eastAsia="Times New Roman" w:hAnsi="Times New Roman" w:cs="Times New Roman"/>
          <w:sz w:val="24"/>
          <w:szCs w:val="24"/>
        </w:rPr>
      </w:pPr>
      <w:r w:rsidRPr="00D11019">
        <w:rPr>
          <w:rFonts w:ascii="Times New Roman" w:eastAsia="Times New Roman" w:hAnsi="Times New Roman" w:cs="Times New Roman"/>
          <w:sz w:val="24"/>
          <w:szCs w:val="24"/>
        </w:rPr>
        <w:t>2. Balša Špadijer, Sekretarijat za finansijske poslove i analizu budžeta, Član;</w:t>
      </w:r>
    </w:p>
    <w:p w:rsidR="00D11019" w:rsidRPr="00D11019" w:rsidRDefault="00D11019">
      <w:pPr>
        <w:pStyle w:val="Normal1"/>
        <w:spacing w:before="240" w:after="240" w:line="360" w:lineRule="auto"/>
        <w:jc w:val="both"/>
        <w:rPr>
          <w:rFonts w:ascii="Times New Roman" w:eastAsia="Times New Roman" w:hAnsi="Times New Roman" w:cs="Times New Roman"/>
          <w:sz w:val="24"/>
          <w:szCs w:val="24"/>
        </w:rPr>
      </w:pPr>
      <w:r w:rsidRPr="00D11019">
        <w:rPr>
          <w:rFonts w:ascii="Times New Roman" w:eastAsia="Times New Roman" w:hAnsi="Times New Roman" w:cs="Times New Roman"/>
          <w:sz w:val="24"/>
          <w:szCs w:val="24"/>
        </w:rPr>
        <w:t>3. Gavrilo Vuković, Sekretarijat za planiranje prostora i održivi razvoj, Član;</w:t>
      </w:r>
    </w:p>
    <w:p w:rsidR="00D11019" w:rsidRDefault="00D11019">
      <w:pPr>
        <w:pStyle w:val="Normal1"/>
        <w:spacing w:before="240" w:after="240" w:line="360" w:lineRule="auto"/>
        <w:jc w:val="both"/>
        <w:rPr>
          <w:rFonts w:ascii="Times New Roman" w:eastAsia="Times New Roman" w:hAnsi="Times New Roman" w:cs="Times New Roman"/>
          <w:sz w:val="24"/>
          <w:szCs w:val="24"/>
        </w:rPr>
      </w:pPr>
      <w:r w:rsidRPr="00D11019">
        <w:rPr>
          <w:rFonts w:ascii="Times New Roman" w:eastAsia="Times New Roman" w:hAnsi="Times New Roman" w:cs="Times New Roman"/>
          <w:sz w:val="24"/>
          <w:szCs w:val="24"/>
        </w:rPr>
        <w:t>4. Danijela Radeč, Sekretarijat za preduzetništvo i investicije, Član;</w:t>
      </w:r>
    </w:p>
    <w:p w:rsidR="00D11019" w:rsidRP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w:t>
      </w:r>
      <w:r w:rsidRPr="00D11019">
        <w:rPr>
          <w:rFonts w:ascii="Times New Roman" w:eastAsia="Times New Roman" w:hAnsi="Times New Roman" w:cs="Times New Roman"/>
          <w:sz w:val="24"/>
          <w:szCs w:val="24"/>
        </w:rPr>
        <w:t>. Darko Nikčević, Sekretarijat za sport, Član;</w:t>
      </w:r>
    </w:p>
    <w:p w:rsidR="00D11019" w:rsidRP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w:t>
      </w:r>
      <w:r w:rsidRPr="00D11019">
        <w:rPr>
          <w:rFonts w:ascii="Times New Roman" w:eastAsia="Times New Roman" w:hAnsi="Times New Roman" w:cs="Times New Roman"/>
          <w:sz w:val="24"/>
          <w:szCs w:val="24"/>
        </w:rPr>
        <w:t>. Snežana Tomanović, Sekretarijat za kulturu, Član;</w:t>
      </w:r>
    </w:p>
    <w:p w:rsidR="00D11019" w:rsidRP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w:t>
      </w:r>
      <w:r w:rsidRPr="00D11019">
        <w:rPr>
          <w:rFonts w:ascii="Times New Roman" w:eastAsia="Times New Roman" w:hAnsi="Times New Roman" w:cs="Times New Roman"/>
          <w:sz w:val="24"/>
          <w:szCs w:val="24"/>
        </w:rPr>
        <w:t>. Stefan Vešović, Sekretarijat za socijalno staranje, Član;</w:t>
      </w:r>
    </w:p>
    <w:p w:rsid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w:t>
      </w:r>
      <w:r w:rsidRPr="00D11019">
        <w:rPr>
          <w:rFonts w:ascii="Times New Roman" w:eastAsia="Times New Roman" w:hAnsi="Times New Roman" w:cs="Times New Roman"/>
          <w:sz w:val="24"/>
          <w:szCs w:val="24"/>
        </w:rPr>
        <w:t>. Andrija Babović, Sekretarijat za komunalne poslove, Član;</w:t>
      </w:r>
    </w:p>
    <w:p w:rsidR="00D11019" w:rsidRP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 Slađana Anđušić, Sekretarijat za lokalnu samoupravu i saradnju sa civilnim društvom, Član;</w:t>
      </w:r>
    </w:p>
    <w:p w:rsidR="00D11019" w:rsidRDefault="00D11019">
      <w:pPr>
        <w:pStyle w:val="Normal1"/>
        <w:spacing w:before="240" w:after="240" w:line="360" w:lineRule="auto"/>
        <w:jc w:val="both"/>
        <w:rPr>
          <w:rFonts w:ascii="Times New Roman" w:eastAsia="Times New Roman" w:hAnsi="Times New Roman" w:cs="Times New Roman"/>
          <w:sz w:val="24"/>
          <w:szCs w:val="24"/>
        </w:rPr>
      </w:pPr>
      <w:r w:rsidRPr="00D11019">
        <w:rPr>
          <w:rFonts w:ascii="Times New Roman" w:eastAsia="Times New Roman" w:hAnsi="Times New Roman" w:cs="Times New Roman"/>
          <w:sz w:val="24"/>
          <w:szCs w:val="24"/>
        </w:rPr>
        <w:t>1</w:t>
      </w:r>
      <w:r>
        <w:rPr>
          <w:rFonts w:ascii="Times New Roman" w:eastAsia="Times New Roman" w:hAnsi="Times New Roman" w:cs="Times New Roman"/>
          <w:sz w:val="24"/>
          <w:szCs w:val="24"/>
        </w:rPr>
        <w:t>0. Ninoslav Kaluđerović, Sekretarijat za saobraćaj, Član;</w:t>
      </w:r>
    </w:p>
    <w:p w:rsid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Nikola Mićunović, Služba za informacioni sistem, Član;</w:t>
      </w:r>
    </w:p>
    <w:p w:rsidR="00D11019"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12. Zorica Pavićević, Služba za podršku poljoprivredi i ruralnom razvoju, Član; </w:t>
      </w:r>
    </w:p>
    <w:p w:rsidR="00506CA2" w:rsidRDefault="00D11019">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13. Duška Mačić, </w:t>
      </w:r>
      <w:r w:rsidR="00506CA2">
        <w:rPr>
          <w:rFonts w:ascii="Times New Roman" w:eastAsia="Times New Roman" w:hAnsi="Times New Roman" w:cs="Times New Roman"/>
          <w:sz w:val="24"/>
          <w:szCs w:val="24"/>
        </w:rPr>
        <w:t>Služba Glavne gradske arhitektice, Član;</w:t>
      </w:r>
    </w:p>
    <w:p w:rsidR="00506CA2" w:rsidRDefault="00506CA2">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Milica Kadović, Direkcija za imovinu, Član;</w:t>
      </w:r>
    </w:p>
    <w:p w:rsidR="00506CA2" w:rsidRDefault="00506CA2">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15. Gojko Perović, </w:t>
      </w:r>
      <w:r w:rsidRPr="00506CA2">
        <w:rPr>
          <w:rFonts w:ascii="Times New Roman" w:eastAsia="Times New Roman" w:hAnsi="Times New Roman" w:cs="Times New Roman"/>
          <w:sz w:val="24"/>
          <w:szCs w:val="24"/>
        </w:rPr>
        <w:t>Uprava za zaštitu imovinsko-pravnih interesa Glavnog grada</w:t>
      </w:r>
      <w:r>
        <w:rPr>
          <w:rFonts w:ascii="Times New Roman" w:eastAsia="Times New Roman" w:hAnsi="Times New Roman" w:cs="Times New Roman"/>
          <w:sz w:val="24"/>
          <w:szCs w:val="24"/>
        </w:rPr>
        <w:t>, Član;</w:t>
      </w:r>
    </w:p>
    <w:p w:rsidR="00506CA2" w:rsidRDefault="00506CA2">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Bajko Vučićević, Agencija za izgradnju i razvoj Podgorice, Član;</w:t>
      </w:r>
    </w:p>
    <w:p w:rsidR="00506CA2" w:rsidRDefault="00506CA2">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17. Dragan Grnović, Turistička organizacija Podgorica, Član; </w:t>
      </w:r>
    </w:p>
    <w:p w:rsidR="00D11019" w:rsidRPr="00D11019" w:rsidRDefault="008772BC">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Konsultativna grupa</w:t>
      </w:r>
    </w:p>
    <w:p w:rsidR="00E944C2" w:rsidRDefault="00F7666C">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Konsultativna grupa formirana je od predstavnika lokalne samouprave, javnih i privatnih institucija i organizacija, predstavnika NVO sektora, kao i eksperata iz pojedinih oblasti, čime su mobilisani svi relevantni faktori i interesne grupe, koji svojim radom, iskustvom i uticajem mogu doprinijeti identifikovanju problema, potencijala, razvojnih šansi, razvojnih ciljeva, razvojnih prioriteta i mjera za njihovo ostvarivanje. Za članove Konsultativne grupe izabrani su:</w:t>
      </w:r>
    </w:p>
    <w:p w:rsidR="00E944C2" w:rsidRDefault="00E944C2">
      <w:pPr>
        <w:pStyle w:val="Normal1"/>
        <w:spacing w:before="240" w:after="240" w:line="360" w:lineRule="auto"/>
        <w:jc w:val="both"/>
        <w:rPr>
          <w:rFonts w:ascii="Times New Roman" w:eastAsia="Times New Roman" w:hAnsi="Times New Roman" w:cs="Times New Roman"/>
          <w:sz w:val="24"/>
          <w:szCs w:val="24"/>
        </w:rPr>
      </w:pP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 Vesna Brajović, Glavni grad, rukovoditeljka Službe gradonačelnika, Koordinator;</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 Balša Špadijer, Sekretarijat za finansijske poslove i analizu budžeta,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 Gavrilo Vuković,  Sekretarijat za planiranje prostora i održivi razvoj,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Danijela Radeč, Sekretarijat za preduzetništvo i investicije,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 Milica Kadović, Direkcija za imovinu,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 Stefan Đukić, Služba Glavne gradske arhitektice,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 Vaska Šišević, Služba Glavnog administratora,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8. Darko Nikčević, Sekretarijat za sport,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 Snežana Tomanović, Sekretarijat za kulturu,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Stefan Vešović, Sekretarijat za socijalno staranje,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11. Andrija Babović, Sekretarijat za komunalne poslove,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 mr Gojko Perović, Uprava za zaštitu imovinsko-pravnih interesa Glavnog grada,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13. Bajko Vučićević, Agencija za izgradnju i razvoj Podgorice,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 mr Stojan Sjekloća, Agencija za upravljanje zaštićenim područjima,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 Miroslav Pejović, Uprava za statistiku – Monstat,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16. Mirjana Kojić, Agencija za investicije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17. Miroslav Mašić, Ministarstvo saobraćaja i pomorstva,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18. mr Sreten Jakić, Ministarstvo zdravlja,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19. dr Jelena Jovanović Nikolić, Ministarstvo kulture i medija,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 Marko Šljukić, Ministarstvo prosvjete, nauka i inovacija,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21. Zoran Jojić, Ministarstvo sporta i mladih,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22. Nina Blažić, Ministarstvo javne uprave, Član; </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23. Branko Nilević, Ministarstvo finansija, Član; </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24. Mišela Manojlović, Zajednica opština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 Radivoje Drobnjak, Naučno-tehnološki park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 dr Bojana Femić-Radosavović, Fond za inovacije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27. Prof. dr Mijat  Jocović, Univerzitet Crne Gore, Ekonomski fakultet,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28. Doc. dr Irena Rajković, Univerzitet Crne Gore, Arhitektonski fakultet,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29. Prof. dr Igor Vušanović, Univerzitet Crne Gore, Mašinski fakultet,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 Vladimir Miličković, Univerzitet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31. Dragana Radević, Program Ujedinjenih nacija za razvoj, UNDP,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32. Bojana Radović, Fond za zaštitu životne sredine (Eko Fond),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33. Igor Majer, Unija poslodavaca Crne Gore,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 Vojin Žugić, „Stadion“ d.o.o.,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35. Petar Mugoša, „Nall International“ d.o.o., Član; </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36. Tijana Bulatović, „Domaća trgovina“ d.o.o.,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37. Sanja Radonjić, „13. Jul Plantaže“ AD,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38. Marko Čelebić, NLB banka,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 Nikola Perišić, Crnogorska komercijalna banka, Član;</w:t>
      </w:r>
    </w:p>
    <w:p w:rsidR="00E944C2" w:rsidRDefault="00F7666C">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40. Marija Šuković, Sekretarijat Savjeta za konkurentnost, Član;</w:t>
      </w:r>
    </w:p>
    <w:p w:rsidR="00E944C2" w:rsidRDefault="00F7666C">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Zadatak članova Konsultativne grupe bio je da: nakon prikupljanja podataka u vezi sa postojećim stanjem razvoja Glavnog grada analizira i ocijeni dobijene podatke; nakon izrade nacrta SWOT analize ocijeni kvalitet izvršene analize i da prijedlog za njenu konačnu verziju; utvrdi opšti cilj razvoja i strateške ciljeve sa prioritetima, mjerama i smjernicama za ostvarivanje Prijedloga Strateškog plana; odredi orijentaciona sredstva za sprovođenje Prijedloga Strateškog plana, način njihovog obezbjeđivanja i druga pitanja od značaja za razvoj; odobri Prijedlog Strateškog plana razvoja Glavnog grada, nakon diskusija i sastanaka; prati implementaciju Strateškog plana razvoja Glavnog grada nakon usvajanja istog na sjednici Skupštine Glavnog grada – Podgorica.</w:t>
      </w:r>
    </w:p>
    <w:p w:rsidR="00E944C2" w:rsidRDefault="00F7666C">
      <w:pPr>
        <w:pStyle w:val="Normal1"/>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4"/>
          <w:szCs w:val="24"/>
        </w:rPr>
        <w:t xml:space="preserve">Nakon izrade SWOT analize, uspjelo se definisati </w:t>
      </w:r>
      <w:r>
        <w:rPr>
          <w:rFonts w:ascii="Times New Roman" w:eastAsia="Times New Roman" w:hAnsi="Times New Roman" w:cs="Times New Roman"/>
          <w:sz w:val="24"/>
          <w:szCs w:val="24"/>
          <w:u w:val="single"/>
        </w:rPr>
        <w:t>3</w:t>
      </w:r>
      <w:r>
        <w:rPr>
          <w:rFonts w:ascii="Times New Roman" w:eastAsia="Times New Roman" w:hAnsi="Times New Roman" w:cs="Times New Roman"/>
          <w:sz w:val="24"/>
          <w:szCs w:val="24"/>
          <w:highlight w:val="white"/>
        </w:rPr>
        <w:t xml:space="preserve">specifična strateška cilja kao i </w:t>
      </w:r>
      <w:r>
        <w:rPr>
          <w:rFonts w:ascii="Times New Roman" w:eastAsia="Times New Roman" w:hAnsi="Times New Roman" w:cs="Times New Roman"/>
          <w:sz w:val="24"/>
          <w:szCs w:val="24"/>
          <w:highlight w:val="white"/>
          <w:u w:val="single"/>
        </w:rPr>
        <w:t xml:space="preserve">13 </w:t>
      </w:r>
      <w:r>
        <w:rPr>
          <w:rFonts w:ascii="Times New Roman" w:eastAsia="Times New Roman" w:hAnsi="Times New Roman" w:cs="Times New Roman"/>
          <w:sz w:val="24"/>
          <w:szCs w:val="24"/>
          <w:highlight w:val="white"/>
        </w:rPr>
        <w:t xml:space="preserve">prioriteta </w:t>
      </w:r>
      <w:r>
        <w:rPr>
          <w:rFonts w:ascii="Times New Roman" w:eastAsia="Times New Roman" w:hAnsi="Times New Roman" w:cs="Times New Roman"/>
          <w:sz w:val="24"/>
          <w:szCs w:val="24"/>
        </w:rPr>
        <w:t>koji će karakterisati predstojeći period ovog Strateškog plana, i to:</w:t>
      </w:r>
    </w:p>
    <w:p w:rsidR="00E944C2" w:rsidRDefault="00F7666C">
      <w:pPr>
        <w:pStyle w:val="Normal1"/>
        <w:spacing w:before="240" w:after="240"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SPECIFIČNI STRATEŠKI CILJ 1: Dalji razvoj i unapređenje infrastrukture i djelatnosti </w:t>
      </w:r>
    </w:p>
    <w:p w:rsidR="00E944C2" w:rsidRDefault="00F7666C">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1.1   Poboljšanje, razvoj i unapređenje komunalne infrastrukture</w:t>
      </w:r>
    </w:p>
    <w:p w:rsidR="00E944C2" w:rsidRDefault="00F7666C">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1.2   Modernizacija javnog prevoza putnika</w:t>
      </w:r>
    </w:p>
    <w:p w:rsidR="00E944C2" w:rsidRDefault="00F7666C">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1.3   Izgradnja infrastrukture u cilju  razvoja  kulture i sporta</w:t>
      </w:r>
    </w:p>
    <w:p w:rsidR="00E944C2" w:rsidRDefault="00F7666C">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1.4   Razvoj infrastrukture u cilju funkcionisanja biznis zona</w:t>
      </w:r>
    </w:p>
    <w:p w:rsidR="00E944C2" w:rsidRDefault="00F7666C">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1.5   Izgradnja obrazovnih i socijalnih ustanova i institucija</w:t>
      </w:r>
    </w:p>
    <w:p w:rsidR="00E944C2" w:rsidRDefault="00F7666C" w:rsidP="00E36C81">
      <w:pPr>
        <w:pStyle w:val="Normal1"/>
        <w:spacing w:before="240" w:after="240"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SPECIFIČNI STRATEŠKI CILJ 2: Jačanje konkurentnosti privrede i dalje unapređenje biznis ambijenta</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2.1   Stvaranje uslova za razvoj biznisa</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2.2 Razvoj pametnog grada (Smart City) i primjena novih tehnologija</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2.3 Kreiranje i dalji razvoj tržišta i plasmana poljoprivrednih proizvoda</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2.4   Razvoj sistema otkupa i plasmana poljoprivrednih proizvoda</w:t>
      </w:r>
    </w:p>
    <w:p w:rsidR="00E944C2" w:rsidRDefault="00E944C2" w:rsidP="00E36C81">
      <w:pPr>
        <w:pStyle w:val="Normal1"/>
        <w:spacing w:before="240" w:after="240" w:line="360" w:lineRule="auto"/>
        <w:jc w:val="both"/>
        <w:rPr>
          <w:rFonts w:ascii="Times New Roman" w:eastAsia="Times New Roman" w:hAnsi="Times New Roman" w:cs="Times New Roman"/>
          <w:sz w:val="28"/>
          <w:szCs w:val="28"/>
          <w:highlight w:val="white"/>
        </w:rPr>
      </w:pPr>
    </w:p>
    <w:p w:rsidR="00316155" w:rsidRDefault="00316155" w:rsidP="00E36C81">
      <w:pPr>
        <w:pStyle w:val="Normal1"/>
        <w:spacing w:before="240" w:after="240" w:line="360" w:lineRule="auto"/>
        <w:jc w:val="both"/>
        <w:rPr>
          <w:rFonts w:ascii="Times New Roman" w:eastAsia="Times New Roman" w:hAnsi="Times New Roman" w:cs="Times New Roman"/>
          <w:sz w:val="28"/>
          <w:szCs w:val="28"/>
          <w:highlight w:val="white"/>
        </w:rPr>
      </w:pPr>
    </w:p>
    <w:p w:rsidR="000F43B7" w:rsidRDefault="000F43B7" w:rsidP="00E36C81">
      <w:pPr>
        <w:pStyle w:val="Normal1"/>
        <w:spacing w:before="240" w:after="240" w:line="360" w:lineRule="auto"/>
        <w:jc w:val="both"/>
        <w:rPr>
          <w:rFonts w:ascii="Times New Roman" w:eastAsia="Times New Roman" w:hAnsi="Times New Roman" w:cs="Times New Roman"/>
          <w:sz w:val="28"/>
          <w:szCs w:val="28"/>
          <w:highlight w:val="white"/>
        </w:rPr>
      </w:pPr>
    </w:p>
    <w:p w:rsidR="00E944C2" w:rsidRDefault="00F7666C" w:rsidP="00E36C81">
      <w:pPr>
        <w:pStyle w:val="Normal1"/>
        <w:spacing w:before="240" w:after="240" w:line="360" w:lineRule="auto"/>
        <w:ind w:firstLine="72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SPECIFIČNI STRATEŠKI CILJ 3: Razvoj turizma i zaštita životne sredine</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3.1   Unapređenje turističke ponude</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3.2   Povećanje turističkih kapaciteta ruralnih područja grada</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3.3   Energetska efikasnost</w:t>
      </w:r>
    </w:p>
    <w:p w:rsidR="00E944C2" w:rsidRDefault="00F7666C" w:rsidP="00E36C81">
      <w:pPr>
        <w:pStyle w:val="Normal1"/>
        <w:spacing w:before="240" w:after="24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PRIORITET 3.4</w:t>
      </w:r>
      <w:r w:rsidR="0012318F">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Organizovano upravljanje komunalnim i neopasnim građevinskim otpadom</w:t>
      </w:r>
    </w:p>
    <w:p w:rsidR="00E944C2" w:rsidRDefault="00E944C2" w:rsidP="00E36C81">
      <w:pPr>
        <w:pStyle w:val="Normal1"/>
        <w:spacing w:before="240" w:after="240" w:line="360" w:lineRule="auto"/>
        <w:jc w:val="both"/>
        <w:rPr>
          <w:rFonts w:ascii="Times New Roman" w:eastAsia="Times New Roman" w:hAnsi="Times New Roman" w:cs="Times New Roman"/>
          <w:sz w:val="24"/>
          <w:szCs w:val="24"/>
          <w:highlight w:val="white"/>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rPr>
      </w:pPr>
    </w:p>
    <w:p w:rsidR="00E944C2" w:rsidRDefault="00E944C2" w:rsidP="00316155">
      <w:pPr>
        <w:pStyle w:val="Heading2"/>
        <w:ind w:left="0" w:firstLine="0"/>
        <w:jc w:val="both"/>
      </w:pPr>
    </w:p>
    <w:p w:rsidR="0012318F" w:rsidRDefault="0012318F" w:rsidP="00316155">
      <w:pPr>
        <w:pStyle w:val="Normal1"/>
        <w:jc w:val="both"/>
      </w:pPr>
    </w:p>
    <w:p w:rsidR="0012318F" w:rsidRDefault="0012318F" w:rsidP="00316155">
      <w:pPr>
        <w:pStyle w:val="Normal1"/>
        <w:jc w:val="both"/>
      </w:pPr>
    </w:p>
    <w:p w:rsidR="0012318F" w:rsidRDefault="0012318F" w:rsidP="00316155">
      <w:pPr>
        <w:pStyle w:val="Normal1"/>
        <w:jc w:val="both"/>
      </w:pPr>
    </w:p>
    <w:p w:rsidR="0012318F" w:rsidRDefault="0012318F" w:rsidP="00316155">
      <w:pPr>
        <w:pStyle w:val="Normal1"/>
        <w:jc w:val="both"/>
      </w:pPr>
    </w:p>
    <w:p w:rsidR="0012318F" w:rsidRDefault="0012318F" w:rsidP="00316155">
      <w:pPr>
        <w:pStyle w:val="Normal1"/>
        <w:jc w:val="both"/>
      </w:pPr>
    </w:p>
    <w:p w:rsidR="0012318F" w:rsidRPr="0012318F" w:rsidRDefault="0012318F" w:rsidP="00316155">
      <w:pPr>
        <w:pStyle w:val="Normal1"/>
        <w:jc w:val="both"/>
      </w:pPr>
    </w:p>
    <w:p w:rsidR="00E944C2" w:rsidRDefault="00F7666C" w:rsidP="00316155">
      <w:pPr>
        <w:pStyle w:val="Heading2"/>
        <w:jc w:val="both"/>
        <w:rPr>
          <w:szCs w:val="28"/>
        </w:rPr>
      </w:pPr>
      <w:bookmarkStart w:id="1" w:name="_Toc212039491"/>
      <w:r>
        <w:t xml:space="preserve">1.1. </w:t>
      </w:r>
      <w:r>
        <w:rPr>
          <w:szCs w:val="28"/>
        </w:rPr>
        <w:t>Analiza realizacije Strateškog plana razvoja Glavnog grada 2020-2025</w:t>
      </w:r>
      <w:bookmarkEnd w:id="1"/>
    </w:p>
    <w:p w:rsidR="00E944C2" w:rsidRDefault="00E944C2" w:rsidP="00E36C81">
      <w:pPr>
        <w:pStyle w:val="Normal1"/>
        <w:jc w:val="both"/>
        <w:rPr>
          <w:rFonts w:ascii="Times New Roman" w:eastAsia="Times New Roman" w:hAnsi="Times New Roman" w:cs="Times New Roman"/>
          <w:sz w:val="24"/>
          <w:szCs w:val="24"/>
        </w:rPr>
      </w:pPr>
    </w:p>
    <w:p w:rsidR="00E944C2" w:rsidRPr="00F7666C" w:rsidRDefault="00E944C2" w:rsidP="00E36C81">
      <w:pPr>
        <w:pStyle w:val="Normal1"/>
        <w:spacing w:line="360" w:lineRule="auto"/>
        <w:jc w:val="both"/>
        <w:rPr>
          <w:rFonts w:ascii="Times New Roman" w:eastAsia="Times New Roman" w:hAnsi="Times New Roman" w:cs="Times New Roman"/>
          <w:sz w:val="24"/>
          <w:szCs w:val="24"/>
        </w:rPr>
      </w:pPr>
      <w:r w:rsidRPr="00F7666C">
        <w:rPr>
          <w:rFonts w:ascii="Times New Roman" w:eastAsia="Times New Roman" w:hAnsi="Times New Roman" w:cs="Times New Roman"/>
          <w:sz w:val="24"/>
          <w:szCs w:val="24"/>
        </w:rPr>
        <w:t>Iz Strateškog plana razvoja Glavnog grada Podgorica za period 2020-2025. godine, predvidio je realizaciju</w:t>
      </w:r>
      <w:r w:rsidR="00F7666C" w:rsidRPr="00F7666C">
        <w:rPr>
          <w:rFonts w:ascii="Times New Roman" w:eastAsia="Times New Roman" w:hAnsi="Times New Roman" w:cs="Times New Roman"/>
          <w:sz w:val="24"/>
          <w:szCs w:val="24"/>
        </w:rPr>
        <w:t xml:space="preserve"> </w:t>
      </w:r>
      <w:r w:rsidRPr="00F7666C">
        <w:rPr>
          <w:rFonts w:ascii="Times New Roman" w:eastAsia="Times New Roman" w:hAnsi="Times New Roman" w:cs="Times New Roman"/>
          <w:sz w:val="24"/>
          <w:szCs w:val="24"/>
        </w:rPr>
        <w:t>ukupno 118 projekata</w:t>
      </w:r>
      <w:r w:rsidR="00F7666C">
        <w:rPr>
          <w:rFonts w:ascii="Times New Roman" w:eastAsia="Times New Roman" w:hAnsi="Times New Roman" w:cs="Times New Roman"/>
          <w:sz w:val="24"/>
          <w:szCs w:val="24"/>
        </w:rPr>
        <w: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Od ukupno 118 projekata koji su predviđeni Strateškim planom razvoja Glavnog grada Podgorica za period 2020-2025. godine, u izvještajnom periodu za 2024. godinu u ra-zličitim fazama realizacije je bilo 12 projekata. U njihovu realizaciju uloženo je ukupno 15.348.941,42 eura. Od ukupnog iznosa uloženih sredstava, iz Budžeta Glavnog grada i privrede i društava čiji je osnivač Glavni grad, finansirano je 14.262.258,27 eura, a iz Budžeta Crne Gore 1.086.683,15 eura.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Napomena: Izmjenama i dopunama Zakona o teritorijalnoj organizaciji Crne Gore (“Službeni list Crne Gore”, br. 92/22), osnovana je opština Zeta, a izmjenama i dopunama Zakona o Glavnom gradu, koje su stupile na snagu kao i ovaj prethodni Zakon, 22.08.2022. godine, opština u okviru Glavnog grada-Golubovci je prestala da postoji. Formiranjem opštine Zeta društva u vlasništvu Glavnog grada Podgorica nijesu sprovodila aktivnosti na ovom području u 2024. i 2025. godini. </w:t>
      </w:r>
    </w:p>
    <w:p w:rsidR="00E944C2" w:rsidRDefault="00F7666C" w:rsidP="00E36C81">
      <w:pPr>
        <w:pStyle w:val="Heading1"/>
        <w:jc w:val="both"/>
      </w:pPr>
      <w:bookmarkStart w:id="2" w:name="_Toc212039492"/>
      <w:r>
        <w:t>2. ANALIZA TRENUTNOG STANJA I SWOT ANALIZA</w:t>
      </w:r>
      <w:bookmarkEnd w:id="2"/>
    </w:p>
    <w:p w:rsidR="00E944C2" w:rsidRDefault="00E944C2" w:rsidP="00E36C81">
      <w:pPr>
        <w:pStyle w:val="Normal1"/>
        <w:jc w:val="both"/>
        <w:rPr>
          <w:rFonts w:ascii="Times New Roman" w:eastAsia="Times New Roman" w:hAnsi="Times New Roman" w:cs="Times New Roman"/>
        </w:rPr>
      </w:pPr>
    </w:p>
    <w:p w:rsidR="00E944C2" w:rsidRDefault="00F7666C" w:rsidP="00E36C81">
      <w:pPr>
        <w:pStyle w:val="Heading2"/>
        <w:jc w:val="both"/>
      </w:pPr>
      <w:bookmarkStart w:id="3" w:name="_Toc212039493"/>
      <w:r>
        <w:t>2.1. Opšti podaci</w:t>
      </w:r>
      <w:bookmarkEnd w:id="3"/>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Podgorica je Glavni grad Crne Gore smješten u središnjem regionu, na raskrsnici ključnih putnih pravaca koji povezuju jadransku obalu s kontinentalnim dijelom Balkana. Grad leži na nadmorskoj visini od 44,5 metara, na ušću rijeke Ribnice u Moraču, unutar prostrane Zetske ravnice. Podgorica je ujedno i administrativni, privredni, politički, saobraćajni i akademski centar Crne Gore. </w:t>
      </w:r>
    </w:p>
    <w:p w:rsidR="00E944C2" w:rsidRDefault="00F7666C" w:rsidP="00E36C81">
      <w:pPr>
        <w:pStyle w:val="Heading3"/>
        <w:jc w:val="both"/>
      </w:pPr>
      <w:bookmarkStart w:id="4" w:name="_Toc212039494"/>
      <w:r>
        <w:rPr>
          <w:b w:val="0"/>
        </w:rPr>
        <w:t xml:space="preserve">2.1.1. </w:t>
      </w:r>
      <w:r>
        <w:t>Geografski položaj i prirodne karakteristike</w:t>
      </w:r>
      <w:bookmarkEnd w:id="4"/>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je okružena brojnim rijekama, uključujući Moraču, Ribnicu, Zetu, Cijevnu, Sitnicu i Marezu, što gradu daje jedinstven hidrološki pečat. Blizina Skadarskog jezera, najvećeg na Balkanu, dodatno obogaćuje prirodni ambijent. Grad je okružen brdima poput Gorice, Ljubovića, Lješkopoljske gorice, Dajbabskog i Malog brda, koja pružaju prirodni okvir urbanom pejzažu. Podgorica je od mora udaljena oko 36 kilometara vazdušnom linijom (do Budve), odnosno 45 kilometara (magistralnim putem do Sutomora).</w:t>
      </w:r>
    </w:p>
    <w:p w:rsidR="00E944C2" w:rsidRDefault="00F7666C" w:rsidP="00316155">
      <w:pPr>
        <w:pStyle w:val="Heading3"/>
        <w:jc w:val="both"/>
      </w:pPr>
      <w:bookmarkStart w:id="5" w:name="_Toc212039495"/>
      <w:r>
        <w:t>2.1.2. Klima</w:t>
      </w:r>
      <w:bookmarkEnd w:id="5"/>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Podgorica ima izmijenjenu sredozemnu klimu s toplim, suvim ljetima i blagim, vlažnim zimama. Prosječna godišnja temperatura iznosi oko 16,4°C, s najtoplijim mjesecima julom i avgustom, kada temperature često prelaze 30°C. Zahvaljujući povoljnim klimatskim uslovima, područje je pogodno za poljoprivredu, posebno za uzgoj vinove loze i voća. </w:t>
      </w:r>
    </w:p>
    <w:p w:rsidR="00E944C2" w:rsidRDefault="00F7666C" w:rsidP="00E36C81">
      <w:pPr>
        <w:pStyle w:val="Normal1"/>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Na osnovu ruže vjetrova za Podgoricu, ustanovljeno je da su najčešći vjetrovi iz sjevernog pravca (17%), koji imaju i najveću brzinu, te iz pravca juga (13%). Maksimalne brzine vjetra dostižu i preko 40 m/s. Prosječan broj vjetrovitih dana je oko 60. Južni vjetar se javlja s manjom jačinom i uglavnom donosi padavine. Glavni grad nalazi se na nestabilnom području, vrlo izražene seizmičke aktivnosti.</w:t>
      </w:r>
    </w:p>
    <w:p w:rsidR="00E944C2" w:rsidRDefault="00F7666C" w:rsidP="00E36C81">
      <w:pPr>
        <w:pStyle w:val="Normal1"/>
        <w:spacing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Prema seizmičkoj regionalizaciji Crne Gore, gradsko područje Podgorice obuhvaćeno je s 8 MCS skale. Ovo znači da maksimalno očekivano zemljotresno dejstvo na području Glavnog grada može prouzrokovati efekte opisane osmim stepenom makroseizmičke skale intenziteta.</w:t>
      </w:r>
    </w:p>
    <w:p w:rsidR="00E944C2" w:rsidRDefault="00F7666C" w:rsidP="00316155">
      <w:pPr>
        <w:pStyle w:val="Heading3"/>
        <w:jc w:val="both"/>
      </w:pPr>
      <w:bookmarkStart w:id="6" w:name="_Toc212039496"/>
      <w:r>
        <w:t>2.1.3. Istorijski pregled</w:t>
      </w:r>
      <w:bookmarkEnd w:id="6"/>
    </w:p>
    <w:p w:rsidR="00E944C2" w:rsidRDefault="00E944C2" w:rsidP="00316155">
      <w:pPr>
        <w:pStyle w:val="Normal1"/>
        <w:jc w:val="both"/>
        <w:rPr>
          <w:highlight w:val="yellow"/>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Područje današnje Podgorice bilo je naseljeno još u praistoriji, što potvrđuju arheološka nalazišta. U antičkom periodu, ovdje se nalazilo rimsko naselje Birziminium, dok je u srednjem vijeku grad bio poznat kao Ribnica. Prvi pisani pomen imena Podgorica datira iz 1326. godine. Tokom vijekova, grad je bio pod različitim upravama, uključujući Osmansko carstvo i Austro-Ugarsku, što je ostavilo bogato kulturno nasljeđe. Nakon Drugog svjetskog rata, grad je nosio ime Titograd, da bi 1992. godine vratio svoje istorijsko ime Podgorica.</w:t>
      </w:r>
    </w:p>
    <w:p w:rsidR="00E944C2" w:rsidRPr="00F7666C"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Teritorija Glavnog grada obuhvata četiri zaštićena prirodna dobra, za koje je zadužena Agencija </w:t>
      </w:r>
      <w:r w:rsidRPr="00F7666C">
        <w:rPr>
          <w:rFonts w:ascii="Times New Roman" w:eastAsia="Times New Roman" w:hAnsi="Times New Roman" w:cs="Times New Roman"/>
          <w:sz w:val="24"/>
          <w:szCs w:val="24"/>
        </w:rPr>
        <w:t>za upravljanje</w:t>
      </w:r>
      <w:r w:rsidR="00E944C2" w:rsidRPr="00F7666C">
        <w:rPr>
          <w:rFonts w:ascii="Times New Roman" w:eastAsia="Times New Roman" w:hAnsi="Times New Roman" w:cs="Times New Roman"/>
          <w:sz w:val="24"/>
          <w:szCs w:val="24"/>
        </w:rPr>
        <w:t xml:space="preserve"> zaštićenim područjima Podgorice i to:</w:t>
      </w:r>
    </w:p>
    <w:p w:rsidR="00E944C2" w:rsidRPr="00F7666C" w:rsidRDefault="00E944C2" w:rsidP="00E36C81">
      <w:pPr>
        <w:pStyle w:val="Normal1"/>
        <w:numPr>
          <w:ilvl w:val="0"/>
          <w:numId w:val="2"/>
        </w:numPr>
        <w:spacing w:after="0" w:line="360" w:lineRule="auto"/>
        <w:jc w:val="both"/>
        <w:rPr>
          <w:color w:val="000000"/>
          <w:sz w:val="24"/>
          <w:szCs w:val="24"/>
        </w:rPr>
      </w:pPr>
      <w:r w:rsidRPr="00F7666C">
        <w:rPr>
          <w:rFonts w:ascii="Times New Roman" w:eastAsia="Times New Roman" w:hAnsi="Times New Roman" w:cs="Times New Roman"/>
          <w:color w:val="000000"/>
          <w:sz w:val="24"/>
          <w:szCs w:val="24"/>
        </w:rPr>
        <w:t>Park prirode “Komovi” (dio koji teritorijalno pripada Glavnom gradu),</w:t>
      </w:r>
    </w:p>
    <w:p w:rsidR="00E944C2" w:rsidRPr="00F7666C" w:rsidRDefault="00E944C2" w:rsidP="00E36C81">
      <w:pPr>
        <w:pStyle w:val="Normal1"/>
        <w:numPr>
          <w:ilvl w:val="0"/>
          <w:numId w:val="2"/>
        </w:numPr>
        <w:spacing w:after="0" w:line="360" w:lineRule="auto"/>
        <w:jc w:val="both"/>
        <w:rPr>
          <w:color w:val="000000"/>
          <w:sz w:val="24"/>
          <w:szCs w:val="24"/>
        </w:rPr>
      </w:pPr>
      <w:r w:rsidRPr="00F7666C">
        <w:rPr>
          <w:rFonts w:ascii="Times New Roman" w:eastAsia="Times New Roman" w:hAnsi="Times New Roman" w:cs="Times New Roman"/>
          <w:color w:val="000000"/>
          <w:sz w:val="24"/>
          <w:szCs w:val="24"/>
        </w:rPr>
        <w:t>Park prirode “Rijeka Zeta” (dio koji teritorijalno pripada Glavnom gradu),</w:t>
      </w:r>
    </w:p>
    <w:p w:rsidR="00E944C2" w:rsidRPr="00F7666C" w:rsidRDefault="00E944C2" w:rsidP="00E36C81">
      <w:pPr>
        <w:pStyle w:val="Normal1"/>
        <w:numPr>
          <w:ilvl w:val="0"/>
          <w:numId w:val="2"/>
        </w:numPr>
        <w:spacing w:after="0" w:line="360" w:lineRule="auto"/>
        <w:jc w:val="both"/>
        <w:rPr>
          <w:color w:val="000000"/>
          <w:sz w:val="24"/>
          <w:szCs w:val="24"/>
        </w:rPr>
      </w:pPr>
      <w:r w:rsidRPr="00F7666C">
        <w:rPr>
          <w:rFonts w:ascii="Times New Roman" w:eastAsia="Times New Roman" w:hAnsi="Times New Roman" w:cs="Times New Roman"/>
          <w:color w:val="000000"/>
          <w:sz w:val="24"/>
          <w:szCs w:val="24"/>
        </w:rPr>
        <w:t>Spomenik prirode “Park šuma Gorica” i</w:t>
      </w:r>
    </w:p>
    <w:p w:rsidR="00E944C2" w:rsidRPr="00F7666C" w:rsidRDefault="00E944C2" w:rsidP="00E36C81">
      <w:pPr>
        <w:pStyle w:val="Normal1"/>
        <w:numPr>
          <w:ilvl w:val="0"/>
          <w:numId w:val="2"/>
        </w:numPr>
        <w:spacing w:line="360" w:lineRule="auto"/>
        <w:jc w:val="both"/>
        <w:rPr>
          <w:color w:val="000000"/>
          <w:sz w:val="24"/>
          <w:szCs w:val="24"/>
        </w:rPr>
      </w:pPr>
      <w:r w:rsidRPr="00F7666C">
        <w:rPr>
          <w:rFonts w:ascii="Times New Roman" w:eastAsia="Times New Roman" w:hAnsi="Times New Roman" w:cs="Times New Roman"/>
          <w:color w:val="000000"/>
          <w:sz w:val="24"/>
          <w:szCs w:val="24"/>
        </w:rPr>
        <w:t>Spomenik prirode “Pećina Magara”.</w:t>
      </w:r>
    </w:p>
    <w:p w:rsidR="00E944C2" w:rsidRDefault="00F7666C" w:rsidP="00E36C81">
      <w:pPr>
        <w:pStyle w:val="Heading2"/>
        <w:jc w:val="both"/>
        <w:rPr>
          <w:highlight w:val="white"/>
        </w:rPr>
      </w:pPr>
      <w:bookmarkStart w:id="7" w:name="_Toc212039497"/>
      <w:r>
        <w:t>2.2.  Demografske karakteristik</w:t>
      </w:r>
      <w:r>
        <w:rPr>
          <w:highlight w:val="white"/>
        </w:rPr>
        <w:t>e</w:t>
      </w:r>
      <w:bookmarkEnd w:id="7"/>
    </w:p>
    <w:p w:rsidR="00E944C2" w:rsidRDefault="00E944C2" w:rsidP="00E36C81">
      <w:pPr>
        <w:pStyle w:val="Normal1"/>
        <w:jc w:val="both"/>
      </w:pPr>
    </w:p>
    <w:p w:rsidR="00E944C2" w:rsidRDefault="00F7666C" w:rsidP="00E36C81">
      <w:pPr>
        <w:pStyle w:val="Heading3"/>
        <w:jc w:val="both"/>
        <w:rPr>
          <w:highlight w:val="white"/>
        </w:rPr>
      </w:pPr>
      <w:bookmarkStart w:id="8" w:name="_Toc212039498"/>
      <w:r>
        <w:rPr>
          <w:highlight w:val="white"/>
        </w:rPr>
        <w:t>2.2.1. Populacija</w:t>
      </w:r>
      <w:bookmarkEnd w:id="8"/>
    </w:p>
    <w:p w:rsidR="00E944C2" w:rsidRDefault="00E944C2" w:rsidP="00E36C81">
      <w:pPr>
        <w:pStyle w:val="Normal1"/>
        <w:jc w:val="both"/>
        <w:rPr>
          <w:highlight w:val="white"/>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je najveći urbani centar u Crnoj Gori sa ukupnim brojem stanovnika,prema Popisu iz 2023. godine, od 179,505. Popis iz 2023. godine pokazuje da u Podgorici živi 85,819 muškaraca (47,81%) i 93,686 žena (52,19%), što odražava polnu strukturu u korist osoba ženskog pola.</w:t>
      </w:r>
    </w:p>
    <w:p w:rsidR="00E944C2" w:rsidRDefault="00F7666C" w:rsidP="00E36C81">
      <w:pPr>
        <w:pStyle w:val="Heading3"/>
        <w:jc w:val="both"/>
      </w:pPr>
      <w:bookmarkStart w:id="9" w:name="_Toc212039499"/>
      <w:r>
        <w:t>2.2.2. Starosna struktura</w:t>
      </w:r>
      <w:bookmarkEnd w:id="9"/>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Prosječna starost stanovništva je 37.65 godina. Većina stanovnika su u radno aktivnom dobu od 19 do 64 godine, koji čine 65.95% populacije, dok oni stariji od 64 godine čine 14.27%.</w:t>
      </w:r>
    </w:p>
    <w:p w:rsidR="00E944C2" w:rsidRDefault="00F7666C" w:rsidP="00E36C81">
      <w:pPr>
        <w:pStyle w:val="Heading3"/>
        <w:jc w:val="both"/>
      </w:pPr>
      <w:bookmarkStart w:id="10" w:name="_Toc212039500"/>
      <w:r>
        <w:t>2.2.3. Migracioni trendovi</w:t>
      </w:r>
      <w:bookmarkEnd w:id="10"/>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je doživjela značajan priliv stanovništva, posebno iz ruralnih djelova Crne Gore. U periodu 2020-2024. godine doselilo se 8866 lica, a odselilo 5186, uz napomenu da u broj za 2023.  i 2024.godinu ne ulazi nova opština Zeta, tj. prikazuje se odvojeno. Ovo unutrašnje migraciono kretanje ukazuje na trend urbanizacije i centralizacije, gdje Podgorica postaje sve izraženiji centar za život i rad.</w:t>
      </w:r>
    </w:p>
    <w:p w:rsidR="00E944C2" w:rsidRDefault="00F7666C" w:rsidP="00E36C81">
      <w:pPr>
        <w:pStyle w:val="Heading3"/>
        <w:jc w:val="both"/>
      </w:pPr>
      <w:bookmarkStart w:id="11" w:name="_Toc212039501"/>
      <w:r>
        <w:t>2.2.4. Obrazovna struktura</w:t>
      </w:r>
      <w:bookmarkEnd w:id="11"/>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Stanovništvo Podgorice pokazuje raznovrsnu obrazovnu strukturu. Prema popisu iz 2023. godine, većina stanovnika ima završenu srednju školu (48,92%), dok 12,62% stanovnika ima osnovno obrazovanje. Takođe, značajan broj stanovnika ima viši ili visoko obrazovni nivo.</w:t>
      </w:r>
    </w:p>
    <w:p w:rsidR="00E944C2" w:rsidRDefault="00F7666C" w:rsidP="00E36C81">
      <w:pPr>
        <w:pStyle w:val="Heading3"/>
        <w:jc w:val="both"/>
      </w:pPr>
      <w:bookmarkStart w:id="12" w:name="_Toc212039502"/>
      <w:r>
        <w:t>2.2.5. Natalitet i mortalitet</w:t>
      </w:r>
      <w:bookmarkEnd w:id="12"/>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Podgorica bilježi pozitivan prirodni priraštaj, sa većim brojem rođenih nego umrlih. Ovaj trend ukazuje na relativno mladu demografsku strukturu i vitalnu populaciju. U 2023. godini prirodni priraštaj je iznosio 980 (rodjeno 2458lica, umrlo 1478), a u 2024. godini prirodni priraštaj je bio manji nego </w:t>
      </w:r>
      <w:r w:rsidR="00E944C2" w:rsidRPr="00F7666C">
        <w:rPr>
          <w:rFonts w:ascii="Times New Roman" w:eastAsia="Times New Roman" w:hAnsi="Times New Roman" w:cs="Times New Roman"/>
          <w:sz w:val="24"/>
          <w:szCs w:val="24"/>
        </w:rPr>
        <w:t>2023.</w:t>
      </w:r>
      <w:r w:rsidRPr="00F7666C">
        <w:rPr>
          <w:rFonts w:ascii="Times New Roman" w:eastAsia="Times New Roman" w:hAnsi="Times New Roman" w:cs="Times New Roman"/>
          <w:sz w:val="24"/>
          <w:szCs w:val="24"/>
        </w:rPr>
        <w:t xml:space="preserve"> </w:t>
      </w:r>
      <w:r w:rsidR="00E944C2" w:rsidRPr="00F7666C">
        <w:rPr>
          <w:rFonts w:ascii="Times New Roman" w:eastAsia="Times New Roman" w:hAnsi="Times New Roman" w:cs="Times New Roman"/>
          <w:sz w:val="24"/>
          <w:szCs w:val="24"/>
        </w:rPr>
        <w:t xml:space="preserve">godine </w:t>
      </w:r>
      <w:r>
        <w:rPr>
          <w:rFonts w:ascii="Times New Roman" w:eastAsia="Times New Roman" w:hAnsi="Times New Roman" w:cs="Times New Roman"/>
          <w:sz w:val="24"/>
          <w:szCs w:val="24"/>
        </w:rPr>
        <w:t>i iznosio je 838 lica (rodjeno 2366, umrlo 1528), što pokazuje da Podgorica u poslednje 2 godine bilježi pozitivan prirodni priraštaj od 1818 lica. Takođe, potrebno je naglasiti da od 2023. godine u sastav Podgorice ne ulaze podaci o opštini Zeta, tj. prikazuju se odvojeno.</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 demografske karakteristike pokazuju dinamičnu i rastuću urbanu sredinu koja privlači mlade i radno sposobne ljude, dok se istovremeno suočava sa izazovima urbanizacije i potrebom za unapređenjem infrastrukture i socijalnih usluga za podršku rastuće populacije.</w:t>
      </w:r>
    </w:p>
    <w:p w:rsidR="00E944C2" w:rsidRDefault="00F7666C" w:rsidP="00E36C81">
      <w:pPr>
        <w:pStyle w:val="Heading2"/>
        <w:jc w:val="both"/>
      </w:pPr>
      <w:bookmarkStart w:id="13" w:name="_Toc212039503"/>
      <w:r>
        <w:t>2.3. Ekonomski pregled</w:t>
      </w:r>
      <w:bookmarkEnd w:id="13"/>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Podgorica, kao g</w:t>
      </w:r>
      <w:r w:rsidR="00E944C2" w:rsidRPr="00F7666C">
        <w:rPr>
          <w:rFonts w:ascii="Times New Roman" w:eastAsia="Times New Roman" w:hAnsi="Times New Roman" w:cs="Times New Roman"/>
          <w:color w:val="000000"/>
          <w:sz w:val="24"/>
          <w:szCs w:val="24"/>
        </w:rPr>
        <w:t>l</w:t>
      </w:r>
      <w:r>
        <w:rPr>
          <w:rFonts w:ascii="Times New Roman" w:eastAsia="Times New Roman" w:hAnsi="Times New Roman" w:cs="Times New Roman"/>
          <w:color w:val="000000"/>
          <w:sz w:val="24"/>
          <w:szCs w:val="24"/>
        </w:rPr>
        <w:t xml:space="preserve">avni grad Crne Gore, predstavlja ekonomsko, administrativno i kulturno središte zemlje. Grad je epicentar privrednog razvoja, s dinamičnim poslovnim okruženjem koje privlači domaće i strane investicije. Ključni sektori uključuju usluge, trgovinu, građevinarstvo i sve veći IT sektor, što doprinosi diversifikaciji ekonomije. Podgorica je takođe administrativno središte, </w:t>
      </w:r>
      <w:r w:rsidR="00E944C2" w:rsidRPr="00F7666C">
        <w:rPr>
          <w:rFonts w:ascii="Times New Roman" w:eastAsia="Times New Roman" w:hAnsi="Times New Roman" w:cs="Times New Roman"/>
          <w:color w:val="000000"/>
          <w:sz w:val="24"/>
          <w:szCs w:val="24"/>
        </w:rPr>
        <w:t>sjedište</w:t>
      </w:r>
      <w:r>
        <w:rPr>
          <w:rFonts w:ascii="Times New Roman" w:eastAsia="Times New Roman" w:hAnsi="Times New Roman" w:cs="Times New Roman"/>
          <w:color w:val="000000"/>
          <w:sz w:val="24"/>
          <w:szCs w:val="24"/>
        </w:rPr>
        <w:t xml:space="preserve"> glavnih državnih institucija i međunarodnih organizacija, što dodatno podstiče ekonomski rast i razvoj. Kulturno bogatstvo grada, manifestovano kroz brojne kulturne manifestacije, muzeje i galerije, čini ga ne samo poslovnim, već i kulturnim centrom Crne Gore, privlačeći turiste i ljubitelje kulture iz cijelog svijeta.</w:t>
      </w: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Broj aktivnih poslovnih subjekata u Crnoj Gori u 2023. godini iznosio je 54.094, što u odnosu na 2022. godinu, kada ih je bilo 45.675, predstavlja povećanje od 18,4%. Od ukupnog broja poslovnih subjekata u državi, najveći broj je u Podgorici i to 18.593, što predstavlja čak 34,4 % od ukupnog broja u 2023. godini. Kada je u pitanju Podgorica, u 2023 godini se bilježi rast od 17.2%., u odnosu na 2022. godinu. </w:t>
      </w:r>
    </w:p>
    <w:p w:rsidR="00E944C2" w:rsidRDefault="00E944C2" w:rsidP="00E36C81">
      <w:pPr>
        <w:pStyle w:val="Normal1"/>
        <w:spacing w:line="360" w:lineRule="auto"/>
        <w:jc w:val="both"/>
        <w:rPr>
          <w:rFonts w:ascii="Times New Roman" w:eastAsia="Times New Roman" w:hAnsi="Times New Roman" w:cs="Times New Roman"/>
          <w:i/>
          <w:color w:val="000000"/>
          <w:sz w:val="20"/>
          <w:szCs w:val="20"/>
        </w:rPr>
      </w:pPr>
    </w:p>
    <w:p w:rsidR="00E944C2" w:rsidRDefault="00F7666C" w:rsidP="00E36C81">
      <w:pPr>
        <w:pStyle w:val="Heading3"/>
        <w:jc w:val="both"/>
      </w:pPr>
      <w:bookmarkStart w:id="14" w:name="_Toc212039504"/>
      <w:r>
        <w:t>2.3.1.  Tržište rada i radne snage</w:t>
      </w:r>
      <w:bookmarkEnd w:id="14"/>
    </w:p>
    <w:p w:rsidR="00E944C2" w:rsidRDefault="00E944C2" w:rsidP="00E36C81">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evidenciji Birao rada Podgorica, na dan 30. jun 2024. godine, registrovano je 5.453 nezaposlenih lica (3.452 žene ili 63,3%), što predstavlja 15,71% ukupne registrovane nezaposlenosti u Crnoj Gori (na nivou Crne Gore registrovano je 34.715 nezaposlenih lica, od čega je 20.397 žena ili 57,75%). U odnosu na isti </w:t>
      </w:r>
      <w:r w:rsidRPr="00F7666C">
        <w:rPr>
          <w:rFonts w:ascii="Times New Roman" w:eastAsia="Times New Roman" w:hAnsi="Times New Roman" w:cs="Times New Roman"/>
          <w:sz w:val="24"/>
          <w:szCs w:val="24"/>
        </w:rPr>
        <w:t xml:space="preserve">dan </w:t>
      </w:r>
      <w:r w:rsidR="00E944C2" w:rsidRPr="00F7666C">
        <w:rPr>
          <w:rFonts w:ascii="Times New Roman" w:eastAsia="Times New Roman" w:hAnsi="Times New Roman" w:cs="Times New Roman"/>
          <w:sz w:val="24"/>
          <w:szCs w:val="24"/>
        </w:rPr>
        <w:t>2023.</w:t>
      </w:r>
      <w:r w:rsidRPr="00F7666C">
        <w:rPr>
          <w:rFonts w:ascii="Times New Roman" w:eastAsia="Times New Roman" w:hAnsi="Times New Roman" w:cs="Times New Roman"/>
          <w:sz w:val="24"/>
          <w:szCs w:val="24"/>
        </w:rPr>
        <w:t xml:space="preserve"> </w:t>
      </w:r>
      <w:r w:rsidR="00E944C2" w:rsidRPr="00F7666C">
        <w:rPr>
          <w:rFonts w:ascii="Times New Roman" w:eastAsia="Times New Roman" w:hAnsi="Times New Roman" w:cs="Times New Roman"/>
          <w:sz w:val="24"/>
          <w:szCs w:val="24"/>
        </w:rPr>
        <w:t>g</w:t>
      </w:r>
      <w:r w:rsidRPr="00F7666C">
        <w:rPr>
          <w:rFonts w:ascii="Times New Roman" w:eastAsia="Times New Roman" w:hAnsi="Times New Roman" w:cs="Times New Roman"/>
          <w:sz w:val="24"/>
          <w:szCs w:val="24"/>
        </w:rPr>
        <w:t>odine</w:t>
      </w:r>
      <w:r>
        <w:rPr>
          <w:rFonts w:ascii="Times New Roman" w:eastAsia="Times New Roman" w:hAnsi="Times New Roman" w:cs="Times New Roman"/>
          <w:sz w:val="24"/>
          <w:szCs w:val="24"/>
        </w:rPr>
        <w:t>, kada je bilo registrovano 6.732 nezaposlenih (4.173 žene ili 61,99%), došlo je do smanjenja nezaposlenosti za 1.279 lica ili 19%. Na nivou Crne Gore nezaposlenost je smanjena za 5.589 lica ili 13,87% (na dan 30.6.2023. godine registrovano je 40.304 nezaposlenih, od čega je 23.258 žena ili 57,71%).</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nivou Crne Gore najviše nezaposlenih je sa I nivoom – 13.234 ili 38,12% (8.046 žena ili 60,8%), zatim sa sa IV-1 nivoom – 9.610 ili 27,68% (5.990 žena ili 62,33%) i sa III nivoom – 6.800 ili 19,59% (3.168 žena ili 46,59%). Visokoškolaca je bilo 3.687 ili 10,62% (2.426 žena ili 65,8%).</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Kada je u pitanju Podgorica, imamo slične trendove kao na državnom nivou i najviše nezaposlenih je sa I nivoom kvalifikacije obrazovanja (bez zanimanja i stručne spreme) – 2.072 ili 38% (1.223 žene ili 59,02%), zatim sa IV-1 nivoom – 1.490 ili 27,32% (1.022 žene ili 68,59%). Visokoškolaca (VI, VII i VIII nivo) je registovano 879 ili 16,12% (603 žene ili 68,6%).</w:t>
      </w:r>
      <w:r>
        <w:rPr>
          <w:rFonts w:ascii="Times New Roman" w:eastAsia="Times New Roman" w:hAnsi="Times New Roman" w:cs="Times New Roman"/>
          <w:sz w:val="24"/>
          <w:szCs w:val="24"/>
        </w:rPr>
        <w:br/>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0F43B7" w:rsidRDefault="000F43B7"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1. Pregled nezaposlenih prema nivoima kvalifikacije obrazovanja</w:t>
      </w:r>
    </w:p>
    <w:tbl>
      <w:tblPr>
        <w:tblW w:w="9693" w:type="dxa"/>
        <w:tblInd w:w="-11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738"/>
        <w:gridCol w:w="994"/>
        <w:gridCol w:w="836"/>
        <w:gridCol w:w="696"/>
        <w:gridCol w:w="601"/>
        <w:gridCol w:w="696"/>
        <w:gridCol w:w="696"/>
        <w:gridCol w:w="504"/>
        <w:gridCol w:w="504"/>
        <w:gridCol w:w="715"/>
        <w:gridCol w:w="601"/>
        <w:gridCol w:w="547"/>
        <w:gridCol w:w="547"/>
        <w:gridCol w:w="1018"/>
      </w:tblGrid>
      <w:tr w:rsidR="00E944C2">
        <w:trPr>
          <w:cantSplit/>
          <w:tblHeader/>
        </w:trPr>
        <w:tc>
          <w:tcPr>
            <w:tcW w:w="738" w:type="dxa"/>
            <w:vMerge w:val="restart"/>
          </w:tcPr>
          <w:p w:rsidR="00E944C2" w:rsidRDefault="00E944C2" w:rsidP="00E36C81">
            <w:pPr>
              <w:pStyle w:val="Normal1"/>
              <w:jc w:val="both"/>
              <w:rPr>
                <w:rFonts w:ascii="Times New Roman" w:eastAsia="Times New Roman" w:hAnsi="Times New Roman" w:cs="Times New Roman"/>
                <w:sz w:val="18"/>
                <w:szCs w:val="18"/>
              </w:rPr>
            </w:pP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Datum</w:t>
            </w:r>
          </w:p>
        </w:tc>
        <w:tc>
          <w:tcPr>
            <w:tcW w:w="994" w:type="dxa"/>
            <w:vMerge w:val="restart"/>
          </w:tcPr>
          <w:p w:rsidR="00E944C2" w:rsidRDefault="00E944C2" w:rsidP="00E36C81">
            <w:pPr>
              <w:pStyle w:val="Normal1"/>
              <w:jc w:val="both"/>
              <w:rPr>
                <w:rFonts w:ascii="Times New Roman" w:eastAsia="Times New Roman" w:hAnsi="Times New Roman" w:cs="Times New Roman"/>
                <w:sz w:val="18"/>
                <w:szCs w:val="18"/>
              </w:rPr>
            </w:pPr>
          </w:p>
        </w:tc>
        <w:tc>
          <w:tcPr>
            <w:tcW w:w="836" w:type="dxa"/>
            <w:vMerge w:val="restart"/>
          </w:tcPr>
          <w:p w:rsidR="00E944C2" w:rsidRDefault="00E944C2" w:rsidP="00E36C81">
            <w:pPr>
              <w:pStyle w:val="Normal1"/>
              <w:jc w:val="both"/>
              <w:rPr>
                <w:rFonts w:ascii="Times New Roman" w:eastAsia="Times New Roman" w:hAnsi="Times New Roman" w:cs="Times New Roman"/>
                <w:sz w:val="18"/>
                <w:szCs w:val="18"/>
              </w:rPr>
            </w:pPr>
          </w:p>
        </w:tc>
        <w:tc>
          <w:tcPr>
            <w:tcW w:w="6107" w:type="dxa"/>
            <w:gridSpan w:val="10"/>
            <w:shd w:val="clear" w:color="auto" w:fill="2E75B5"/>
          </w:tcPr>
          <w:p w:rsidR="00E944C2" w:rsidRDefault="00F7666C" w:rsidP="00E36C81">
            <w:pPr>
              <w:pStyle w:val="Normal1"/>
              <w:jc w:val="both"/>
              <w:rPr>
                <w:rFonts w:ascii="Times New Roman" w:eastAsia="Times New Roman" w:hAnsi="Times New Roman" w:cs="Times New Roman"/>
                <w:color w:val="FFFFFF"/>
                <w:sz w:val="18"/>
                <w:szCs w:val="18"/>
              </w:rPr>
            </w:pPr>
            <w:r>
              <w:rPr>
                <w:rFonts w:ascii="Times New Roman" w:eastAsia="Times New Roman" w:hAnsi="Times New Roman" w:cs="Times New Roman"/>
                <w:color w:val="FFFFFF"/>
                <w:sz w:val="18"/>
                <w:szCs w:val="18"/>
              </w:rPr>
              <w:t>NIVO KVALIFIKACIJE OBRAZOVANJA</w:t>
            </w:r>
          </w:p>
        </w:tc>
        <w:tc>
          <w:tcPr>
            <w:tcW w:w="1018" w:type="dxa"/>
            <w:vMerge w:val="restart"/>
          </w:tcPr>
          <w:p w:rsidR="00E944C2" w:rsidRDefault="00E944C2" w:rsidP="00E36C81">
            <w:pPr>
              <w:pStyle w:val="Normal1"/>
              <w:jc w:val="both"/>
              <w:rPr>
                <w:rFonts w:ascii="Times New Roman" w:eastAsia="Times New Roman" w:hAnsi="Times New Roman" w:cs="Times New Roman"/>
                <w:sz w:val="18"/>
                <w:szCs w:val="18"/>
              </w:rPr>
            </w:pP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r>
      <w:tr w:rsidR="00E944C2">
        <w:trPr>
          <w:cantSplit/>
          <w:tblHeader/>
        </w:trPr>
        <w:tc>
          <w:tcPr>
            <w:tcW w:w="738"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696"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w:t>
            </w:r>
          </w:p>
        </w:tc>
        <w:tc>
          <w:tcPr>
            <w:tcW w:w="60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II</w:t>
            </w:r>
          </w:p>
        </w:tc>
        <w:tc>
          <w:tcPr>
            <w:tcW w:w="696"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III</w:t>
            </w:r>
          </w:p>
        </w:tc>
        <w:tc>
          <w:tcPr>
            <w:tcW w:w="696"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IV-1</w:t>
            </w:r>
          </w:p>
        </w:tc>
        <w:tc>
          <w:tcPr>
            <w:tcW w:w="504"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VI-2</w:t>
            </w:r>
          </w:p>
        </w:tc>
        <w:tc>
          <w:tcPr>
            <w:tcW w:w="504"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w:t>
            </w:r>
          </w:p>
        </w:tc>
        <w:tc>
          <w:tcPr>
            <w:tcW w:w="715"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w:t>
            </w:r>
          </w:p>
        </w:tc>
        <w:tc>
          <w:tcPr>
            <w:tcW w:w="60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VII-1</w:t>
            </w:r>
          </w:p>
        </w:tc>
        <w:tc>
          <w:tcPr>
            <w:tcW w:w="547"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VII-2</w:t>
            </w:r>
          </w:p>
        </w:tc>
        <w:tc>
          <w:tcPr>
            <w:tcW w:w="547"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VIII</w:t>
            </w:r>
          </w:p>
        </w:tc>
        <w:tc>
          <w:tcPr>
            <w:tcW w:w="1018"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r>
      <w:tr w:rsidR="00E944C2">
        <w:trPr>
          <w:cantSplit/>
          <w:tblHeader/>
        </w:trPr>
        <w:tc>
          <w:tcPr>
            <w:tcW w:w="738"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2021.</w:t>
            </w:r>
          </w:p>
        </w:tc>
        <w:tc>
          <w:tcPr>
            <w:tcW w:w="994"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bottom w:val="single" w:sz="6"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3196</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354</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1536</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3199</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152</w:t>
            </w:r>
          </w:p>
        </w:tc>
        <w:tc>
          <w:tcPr>
            <w:tcW w:w="715"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1045</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1538</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1018"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11152</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1969</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247</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856</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2075</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674</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1030</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7011</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18506</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1628</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10851</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15971</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137</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716</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3652</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5520</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386</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57386</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11771</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1062</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5428</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9750</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408</w:t>
            </w:r>
          </w:p>
        </w:tc>
        <w:tc>
          <w:tcPr>
            <w:tcW w:w="7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2250</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3579</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236</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w:t>
            </w:r>
          </w:p>
        </w:tc>
        <w:tc>
          <w:tcPr>
            <w:tcW w:w="1018"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34522</w:t>
            </w:r>
          </w:p>
        </w:tc>
      </w:tr>
      <w:tr w:rsidR="00E944C2">
        <w:trPr>
          <w:cantSplit/>
          <w:tblHeader/>
        </w:trPr>
        <w:tc>
          <w:tcPr>
            <w:tcW w:w="738"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w:t>
            </w:r>
          </w:p>
        </w:tc>
        <w:tc>
          <w:tcPr>
            <w:tcW w:w="994"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2627</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253</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1243</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2626</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120</w:t>
            </w:r>
          </w:p>
        </w:tc>
        <w:tc>
          <w:tcPr>
            <w:tcW w:w="715"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406</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1069</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82</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1018"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8459</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1489</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159</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663</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1691</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289</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758</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5184</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15615</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1201</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9166</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13672</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589</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1627</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3852</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306</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46159</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9128</w:t>
            </w:r>
          </w:p>
        </w:tc>
        <w:tc>
          <w:tcPr>
            <w:tcW w:w="601"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671</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4165</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8168</w:t>
            </w:r>
          </w:p>
        </w:tc>
        <w:tc>
          <w:tcPr>
            <w:tcW w:w="504"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w:t>
            </w:r>
          </w:p>
        </w:tc>
        <w:tc>
          <w:tcPr>
            <w:tcW w:w="504"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324</w:t>
            </w:r>
          </w:p>
        </w:tc>
        <w:tc>
          <w:tcPr>
            <w:tcW w:w="715"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1056</w:t>
            </w:r>
          </w:p>
        </w:tc>
        <w:tc>
          <w:tcPr>
            <w:tcW w:w="601"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2524</w:t>
            </w:r>
          </w:p>
        </w:tc>
        <w:tc>
          <w:tcPr>
            <w:tcW w:w="547"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186</w:t>
            </w:r>
          </w:p>
        </w:tc>
        <w:tc>
          <w:tcPr>
            <w:tcW w:w="547"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w:t>
            </w:r>
          </w:p>
        </w:tc>
        <w:tc>
          <w:tcPr>
            <w:tcW w:w="1018"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26251</w:t>
            </w:r>
          </w:p>
        </w:tc>
      </w:tr>
      <w:tr w:rsidR="00E944C2">
        <w:trPr>
          <w:cantSplit/>
          <w:tblHeader/>
        </w:trPr>
        <w:tc>
          <w:tcPr>
            <w:tcW w:w="738"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w:t>
            </w:r>
          </w:p>
        </w:tc>
        <w:tc>
          <w:tcPr>
            <w:tcW w:w="994"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bottom w:val="single" w:sz="6"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2474</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227</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1129</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2250</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w:t>
            </w:r>
          </w:p>
        </w:tc>
        <w:tc>
          <w:tcPr>
            <w:tcW w:w="715"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881</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1125</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1018"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8311</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1441</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138</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615</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1503</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76</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575</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771</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5185</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15180</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1148</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8813</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12716</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105</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568</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3322</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4362</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365</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46596</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9031</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639</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3973</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7700</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304</w:t>
            </w:r>
          </w:p>
        </w:tc>
        <w:tc>
          <w:tcPr>
            <w:tcW w:w="7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2115</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2827</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239</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1018"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26860</w:t>
            </w:r>
          </w:p>
        </w:tc>
      </w:tr>
      <w:tr w:rsidR="00E944C2">
        <w:trPr>
          <w:cantSplit/>
          <w:tblHeader/>
        </w:trPr>
        <w:tc>
          <w:tcPr>
            <w:tcW w:w="738"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994"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2295</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212</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997</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1997</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w:t>
            </w:r>
          </w:p>
        </w:tc>
        <w:tc>
          <w:tcPr>
            <w:tcW w:w="715"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317</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742</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1018"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6732</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1333</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546</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1343</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63</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226</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515</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4203</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14601</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1056</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8011</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11567</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483</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1319</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2944</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210</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40304</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8729</w:t>
            </w:r>
          </w:p>
        </w:tc>
        <w:tc>
          <w:tcPr>
            <w:tcW w:w="601"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582</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3655</w:t>
            </w:r>
          </w:p>
        </w:tc>
        <w:tc>
          <w:tcPr>
            <w:tcW w:w="696"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7064</w:t>
            </w:r>
          </w:p>
        </w:tc>
        <w:tc>
          <w:tcPr>
            <w:tcW w:w="504"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w:t>
            </w:r>
          </w:p>
        </w:tc>
        <w:tc>
          <w:tcPr>
            <w:tcW w:w="504"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261</w:t>
            </w:r>
          </w:p>
        </w:tc>
        <w:tc>
          <w:tcPr>
            <w:tcW w:w="715"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870</w:t>
            </w:r>
          </w:p>
        </w:tc>
        <w:tc>
          <w:tcPr>
            <w:tcW w:w="601"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1929</w:t>
            </w:r>
          </w:p>
        </w:tc>
        <w:tc>
          <w:tcPr>
            <w:tcW w:w="547"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137</w:t>
            </w:r>
          </w:p>
        </w:tc>
        <w:tc>
          <w:tcPr>
            <w:tcW w:w="547"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1018"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23258</w:t>
            </w:r>
          </w:p>
        </w:tc>
      </w:tr>
      <w:tr w:rsidR="00E944C2">
        <w:trPr>
          <w:cantSplit/>
          <w:tblHeader/>
        </w:trPr>
        <w:tc>
          <w:tcPr>
            <w:tcW w:w="738"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994" w:type="dxa"/>
            <w:vMerge w:val="restart"/>
            <w:tcBorders>
              <w:top w:val="single" w:sz="8" w:space="0" w:color="000000"/>
              <w:bottom w:val="single" w:sz="6"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bottom w:val="single" w:sz="6"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2199</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196</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889</w:t>
            </w:r>
          </w:p>
        </w:tc>
        <w:tc>
          <w:tcPr>
            <w:tcW w:w="696"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1725</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w:t>
            </w:r>
          </w:p>
        </w:tc>
        <w:tc>
          <w:tcPr>
            <w:tcW w:w="504"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88</w:t>
            </w:r>
          </w:p>
        </w:tc>
        <w:tc>
          <w:tcPr>
            <w:tcW w:w="715"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671</w:t>
            </w:r>
          </w:p>
        </w:tc>
        <w:tc>
          <w:tcPr>
            <w:tcW w:w="601"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823</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84</w:t>
            </w:r>
          </w:p>
        </w:tc>
        <w:tc>
          <w:tcPr>
            <w:tcW w:w="547"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c>
          <w:tcPr>
            <w:tcW w:w="1018" w:type="dxa"/>
            <w:tcBorders>
              <w:top w:val="single" w:sz="8" w:space="0" w:color="000000"/>
              <w:bottom w:val="single" w:sz="6"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6701</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1289</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125</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485</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1170</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422</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556</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62</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4173</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13977</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984</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7538</w:t>
            </w:r>
          </w:p>
        </w:tc>
        <w:tc>
          <w:tcPr>
            <w:tcW w:w="696"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10573</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94</w:t>
            </w:r>
          </w:p>
        </w:tc>
        <w:tc>
          <w:tcPr>
            <w:tcW w:w="50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459</w:t>
            </w:r>
          </w:p>
        </w:tc>
        <w:tc>
          <w:tcPr>
            <w:tcW w:w="7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2701</w:t>
            </w:r>
          </w:p>
        </w:tc>
        <w:tc>
          <w:tcPr>
            <w:tcW w:w="60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3260</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335</w:t>
            </w:r>
          </w:p>
        </w:tc>
        <w:tc>
          <w:tcPr>
            <w:tcW w:w="54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w:t>
            </w:r>
          </w:p>
        </w:tc>
        <w:tc>
          <w:tcPr>
            <w:tcW w:w="1018"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39942</w:t>
            </w:r>
          </w:p>
        </w:tc>
      </w:tr>
      <w:tr w:rsidR="00E944C2">
        <w:trPr>
          <w:cantSplit/>
          <w:tblHeader/>
        </w:trPr>
        <w:tc>
          <w:tcPr>
            <w:tcW w:w="73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8375</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553</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3467</w:t>
            </w:r>
          </w:p>
        </w:tc>
        <w:tc>
          <w:tcPr>
            <w:tcW w:w="696"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6518</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w:t>
            </w:r>
          </w:p>
        </w:tc>
        <w:tc>
          <w:tcPr>
            <w:tcW w:w="50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w:t>
            </w:r>
          </w:p>
        </w:tc>
        <w:tc>
          <w:tcPr>
            <w:tcW w:w="7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1722</w:t>
            </w:r>
          </w:p>
        </w:tc>
        <w:tc>
          <w:tcPr>
            <w:tcW w:w="60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2113</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235</w:t>
            </w:r>
          </w:p>
        </w:tc>
        <w:tc>
          <w:tcPr>
            <w:tcW w:w="54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w:t>
            </w:r>
          </w:p>
        </w:tc>
        <w:tc>
          <w:tcPr>
            <w:tcW w:w="1018"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23263</w:t>
            </w:r>
          </w:p>
        </w:tc>
      </w:tr>
      <w:tr w:rsidR="00E944C2">
        <w:trPr>
          <w:cantSplit/>
          <w:tblHeader/>
        </w:trPr>
        <w:tc>
          <w:tcPr>
            <w:tcW w:w="738"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994" w:type="dxa"/>
            <w:vMerge w:val="restart"/>
            <w:tcBorders>
              <w:top w:val="single" w:sz="8" w:space="0" w:color="000000"/>
            </w:tcBorders>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836" w:type="dxa"/>
            <w:tcBorders>
              <w:top w:val="single" w:sz="8" w:space="0" w:color="000000"/>
            </w:tcBorders>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2072</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183</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736</w:t>
            </w:r>
          </w:p>
        </w:tc>
        <w:tc>
          <w:tcPr>
            <w:tcW w:w="696"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1490</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w:t>
            </w:r>
          </w:p>
        </w:tc>
        <w:tc>
          <w:tcPr>
            <w:tcW w:w="504"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80</w:t>
            </w:r>
          </w:p>
        </w:tc>
        <w:tc>
          <w:tcPr>
            <w:tcW w:w="715"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226</w:t>
            </w:r>
          </w:p>
        </w:tc>
        <w:tc>
          <w:tcPr>
            <w:tcW w:w="601"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579</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w:t>
            </w:r>
          </w:p>
        </w:tc>
        <w:tc>
          <w:tcPr>
            <w:tcW w:w="547"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1018" w:type="dxa"/>
            <w:tcBorders>
              <w:top w:val="single" w:sz="8" w:space="0" w:color="000000"/>
            </w:tcBorders>
            <w:shd w:val="clear" w:color="auto" w:fill="auto"/>
            <w:vAlign w:val="center"/>
          </w:tcPr>
          <w:p w:rsidR="00E944C2" w:rsidRDefault="00F7666C" w:rsidP="00E36C81">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5453</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1223</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117</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422</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1022</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157</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403</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13234</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925</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6800</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9610</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382</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1088</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2326</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257</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34715</w:t>
            </w:r>
          </w:p>
        </w:tc>
      </w:tr>
      <w:tr w:rsidR="00E944C2">
        <w:trPr>
          <w:cantSplit/>
          <w:tblHeader/>
        </w:trPr>
        <w:tc>
          <w:tcPr>
            <w:tcW w:w="73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94"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836"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8046</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527</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3168</w:t>
            </w:r>
          </w:p>
        </w:tc>
        <w:tc>
          <w:tcPr>
            <w:tcW w:w="696"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5990</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w:t>
            </w:r>
          </w:p>
        </w:tc>
        <w:tc>
          <w:tcPr>
            <w:tcW w:w="50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217</w:t>
            </w:r>
          </w:p>
        </w:tc>
        <w:tc>
          <w:tcPr>
            <w:tcW w:w="7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710</w:t>
            </w:r>
          </w:p>
        </w:tc>
        <w:tc>
          <w:tcPr>
            <w:tcW w:w="60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1533</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174</w:t>
            </w:r>
          </w:p>
        </w:tc>
        <w:tc>
          <w:tcPr>
            <w:tcW w:w="54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w:t>
            </w:r>
          </w:p>
        </w:tc>
        <w:tc>
          <w:tcPr>
            <w:tcW w:w="1018"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20397</w:t>
            </w:r>
          </w:p>
        </w:tc>
      </w:tr>
    </w:tbl>
    <w:p w:rsidR="00E944C2" w:rsidRDefault="00F7666C" w:rsidP="00E36C81">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E944C2" w:rsidRDefault="00E944C2" w:rsidP="00E36C81">
      <w:pPr>
        <w:pStyle w:val="Normal1"/>
        <w:jc w:val="both"/>
        <w:rPr>
          <w:rFonts w:ascii="Arial" w:eastAsia="Arial" w:hAnsi="Arial" w:cs="Arial"/>
        </w:rPr>
      </w:pPr>
    </w:p>
    <w:p w:rsidR="00E944C2" w:rsidRDefault="00E944C2" w:rsidP="00E36C81">
      <w:pPr>
        <w:pStyle w:val="Normal1"/>
        <w:jc w:val="both"/>
        <w:rPr>
          <w:rFonts w:ascii="Arial" w:eastAsia="Arial" w:hAnsi="Arial" w:cs="Arial"/>
        </w:rPr>
      </w:pPr>
    </w:p>
    <w:p w:rsidR="00E944C2" w:rsidRDefault="00F7666C" w:rsidP="00E36C81">
      <w:pPr>
        <w:pStyle w:val="Normal1"/>
        <w:spacing w:line="360" w:lineRule="auto"/>
        <w:jc w:val="both"/>
        <w:rPr>
          <w:rFonts w:ascii="Times New Roman" w:eastAsia="Times New Roman" w:hAnsi="Times New Roman" w:cs="Times New Roman"/>
          <w:sz w:val="24"/>
          <w:szCs w:val="24"/>
        </w:rPr>
      </w:pPr>
      <w:bookmarkStart w:id="15" w:name="_qygipmm66ubq" w:colFirst="0" w:colLast="0"/>
      <w:bookmarkEnd w:id="15"/>
      <w:r>
        <w:rPr>
          <w:rFonts w:ascii="Times New Roman" w:eastAsia="Times New Roman" w:hAnsi="Times New Roman" w:cs="Times New Roman"/>
          <w:sz w:val="24"/>
          <w:szCs w:val="24"/>
        </w:rPr>
        <w:t>Posmatrano prema starosnim grupama, najviše nezaposlenih je starosti od 30 do 50 godina – 2.789 ili 51,15% (na isti dan 2023. godine 3.500 ili 51,99%), zatim starijih od 50 godina – 1.509 ili 27,67% (na isti dan 2023. godine 1.822 ili 27,06%), dok je mladih starosti do 30 godina registrovano 1.155 ili 21,18% (na isti dan 2023. godine 1.410 ili 20,94%). Na nivou Crne Gore mladih je bilo 6.350 ili 18,29% (na isti dan 2023. godine 7.805 ili 19,37%), starosti od 30 do 50 godina 15.915 ili 45,84% (na isti dan 2023. godine 18.798 ili 46,64%), dok je starijih od 50 godina bilo 12.450 ili 35,86% (na isti dan 2023. godine 13.701 ili 33,99%).</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 nominalnim smanjenjem nezaposlenosti došlo je do nominalnog smanjenja nezaposlenosti u svim starosnim grupama. Međutim, procentualno učešće određene starosne grupe u velikoj mjeri se mijenjalo u zavisnosti od perioda godine. Tako se učešće mladih (15-29 godina) sredinom godine kreće od 21-23% (30.6.2022. – 23,43%; 30.6.2023 – 20,94%; 30.6.2024 – 21,18%), dok je krajem godine iznosi između 27 i 29% (31.12.2021 – 28,64%; 31.12.2022 – 27,41%; 31.12.2023 – 27,35%). Učešće starosne grupe 30-50 godina se sredinom godine kreće između 51 i 52% (30.6.2022 – 52,06%; 30.6.2023 – 51,99%; 30.6.2024 – 51,15%), dok krajem godine iznosi između 47 i 49% (31.12.2021 – 47,55%; 31.12.2022 – 49,13%; 31.12.2023 – 47,52%). Kod lica starijih od 50 godina dolazi do manjih oscilacija, pa je tako učešće ove grupe sredinom godine iznosilo 30.6.2022 – 24,51%, 2023 – 27,06%, a 2024. godine 27,67%. Krajem godine učešće lica starijih od 50 godina je iznosilo: 31.12.2021 – 23,81%, 2022 – 23,46%, a 2023 – 27,67%. Uzrok navedenih oscilacija je, uglavnom, veće zapošljavanje mlađih kategorija na sezonskim poslovima.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316155" w:rsidRDefault="00316155" w:rsidP="00316155">
      <w:pPr>
        <w:pStyle w:val="Normal1"/>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2. Pregled nezaposlenih prema godinama starosti</w:t>
      </w:r>
    </w:p>
    <w:tbl>
      <w:tblPr>
        <w:tblStyle w:val="77"/>
        <w:tblW w:w="9264"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803"/>
        <w:gridCol w:w="849"/>
        <w:gridCol w:w="796"/>
        <w:gridCol w:w="576"/>
        <w:gridCol w:w="576"/>
        <w:gridCol w:w="576"/>
        <w:gridCol w:w="576"/>
        <w:gridCol w:w="576"/>
        <w:gridCol w:w="576"/>
        <w:gridCol w:w="576"/>
        <w:gridCol w:w="576"/>
        <w:gridCol w:w="576"/>
        <w:gridCol w:w="576"/>
        <w:gridCol w:w="1056"/>
      </w:tblGrid>
      <w:tr w:rsidR="00E944C2" w:rsidRPr="00AD30E8">
        <w:trPr>
          <w:cantSplit/>
          <w:tblHeader/>
          <w:jc w:val="center"/>
        </w:trPr>
        <w:tc>
          <w:tcPr>
            <w:tcW w:w="803" w:type="dxa"/>
            <w:vMerge w:val="restart"/>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Datum</w:t>
            </w:r>
          </w:p>
        </w:tc>
        <w:tc>
          <w:tcPr>
            <w:tcW w:w="849" w:type="dxa"/>
            <w:vMerge w:val="restart"/>
          </w:tcPr>
          <w:p w:rsidR="00E944C2" w:rsidRPr="00AD30E8" w:rsidRDefault="00E944C2" w:rsidP="00316155">
            <w:pPr>
              <w:pStyle w:val="Normal1"/>
              <w:jc w:val="both"/>
              <w:rPr>
                <w:rFonts w:ascii="Times New Roman" w:eastAsia="Times New Roman" w:hAnsi="Times New Roman" w:cs="Times New Roman"/>
                <w:sz w:val="16"/>
                <w:szCs w:val="16"/>
              </w:rPr>
            </w:pPr>
          </w:p>
        </w:tc>
        <w:tc>
          <w:tcPr>
            <w:tcW w:w="796" w:type="dxa"/>
            <w:vMerge w:val="restart"/>
          </w:tcPr>
          <w:p w:rsidR="00E944C2" w:rsidRPr="00AD30E8" w:rsidRDefault="00E944C2" w:rsidP="00316155">
            <w:pPr>
              <w:pStyle w:val="Normal1"/>
              <w:jc w:val="both"/>
              <w:rPr>
                <w:rFonts w:ascii="Times New Roman" w:eastAsia="Times New Roman" w:hAnsi="Times New Roman" w:cs="Times New Roman"/>
                <w:sz w:val="16"/>
                <w:szCs w:val="16"/>
              </w:rPr>
            </w:pPr>
          </w:p>
        </w:tc>
        <w:tc>
          <w:tcPr>
            <w:tcW w:w="5760" w:type="dxa"/>
            <w:gridSpan w:val="10"/>
            <w:shd w:val="clear" w:color="auto" w:fill="2E75B5"/>
          </w:tcPr>
          <w:p w:rsidR="00E944C2" w:rsidRPr="00AD30E8" w:rsidRDefault="00F7666C" w:rsidP="00316155">
            <w:pPr>
              <w:pStyle w:val="Normal1"/>
              <w:jc w:val="both"/>
              <w:rPr>
                <w:rFonts w:ascii="Times New Roman" w:eastAsia="Times New Roman" w:hAnsi="Times New Roman" w:cs="Times New Roman"/>
                <w:color w:val="FFFFFF"/>
                <w:sz w:val="16"/>
                <w:szCs w:val="16"/>
              </w:rPr>
            </w:pPr>
            <w:r w:rsidRPr="00AD30E8">
              <w:rPr>
                <w:rFonts w:ascii="Times New Roman" w:eastAsia="Times New Roman" w:hAnsi="Times New Roman" w:cs="Times New Roman"/>
                <w:color w:val="FFFFFF"/>
                <w:sz w:val="16"/>
                <w:szCs w:val="16"/>
              </w:rPr>
              <w:t>STAROSNE GRUPE</w:t>
            </w:r>
          </w:p>
        </w:tc>
        <w:tc>
          <w:tcPr>
            <w:tcW w:w="1056" w:type="dxa"/>
            <w:vMerge w:val="restart"/>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r>
      <w:tr w:rsidR="00E944C2" w:rsidRPr="00AD30E8">
        <w:trPr>
          <w:cantSplit/>
          <w:tblHeader/>
          <w:jc w:val="center"/>
        </w:trPr>
        <w:tc>
          <w:tcPr>
            <w:tcW w:w="803"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15-19</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20-24</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25-29</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30-24</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35-39</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40-44</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45-49</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50-54</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55-60</w:t>
            </w:r>
          </w:p>
        </w:tc>
        <w:tc>
          <w:tcPr>
            <w:tcW w:w="576"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60+</w:t>
            </w:r>
          </w:p>
        </w:tc>
        <w:tc>
          <w:tcPr>
            <w:tcW w:w="1056"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r>
      <w:tr w:rsidR="00E944C2" w:rsidRPr="00AD30E8">
        <w:trPr>
          <w:cantSplit/>
          <w:tblHeader/>
          <w:jc w:val="center"/>
        </w:trPr>
        <w:tc>
          <w:tcPr>
            <w:tcW w:w="803" w:type="dxa"/>
            <w:vMerge w:val="restart"/>
            <w:tcBorders>
              <w:top w:val="single" w:sz="8" w:space="0" w:color="000000"/>
              <w:left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31.12.</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2021.</w:t>
            </w:r>
          </w:p>
        </w:tc>
        <w:tc>
          <w:tcPr>
            <w:tcW w:w="849"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1265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1605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1449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1365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1324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1165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1064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967</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624</w:t>
            </w:r>
          </w:p>
        </w:tc>
        <w:tc>
          <w:tcPr>
            <w:tcW w:w="1056" w:type="dxa"/>
            <w:tcBorders>
              <w:top w:val="single" w:sz="8" w:space="0" w:color="000000"/>
              <w:bottom w:val="single" w:sz="6" w:space="0" w:color="000000"/>
              <w:right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11152</w:t>
            </w:r>
          </w:p>
        </w:tc>
      </w:tr>
      <w:tr w:rsidR="00E944C2" w:rsidRPr="00AD30E8">
        <w:trPr>
          <w:cantSplit/>
          <w:tblHeader/>
          <w:jc w:val="center"/>
        </w:trPr>
        <w:tc>
          <w:tcPr>
            <w:tcW w:w="803" w:type="dxa"/>
            <w:vMerge/>
            <w:tcBorders>
              <w:top w:val="single" w:sz="8" w:space="0" w:color="000000"/>
              <w:left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763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1015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979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904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854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720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665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587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355</w:t>
            </w:r>
          </w:p>
        </w:tc>
        <w:tc>
          <w:tcPr>
            <w:tcW w:w="1056" w:type="dxa"/>
            <w:tcBorders>
              <w:top w:val="single" w:sz="6" w:space="0" w:color="000000"/>
              <w:bottom w:val="single" w:sz="6" w:space="0" w:color="000000"/>
              <w:right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7011</w:t>
            </w:r>
          </w:p>
        </w:tc>
      </w:tr>
      <w:tr w:rsidR="00E944C2" w:rsidRPr="00AD30E8">
        <w:trPr>
          <w:cantSplit/>
          <w:tblHeader/>
          <w:jc w:val="center"/>
        </w:trPr>
        <w:tc>
          <w:tcPr>
            <w:tcW w:w="803" w:type="dxa"/>
            <w:vMerge/>
            <w:tcBorders>
              <w:top w:val="single" w:sz="8" w:space="0" w:color="000000"/>
              <w:left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1269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5580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6830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6540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6494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6617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6553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6534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6329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4640</w:t>
            </w:r>
          </w:p>
        </w:tc>
        <w:tc>
          <w:tcPr>
            <w:tcW w:w="1056" w:type="dxa"/>
            <w:tcBorders>
              <w:top w:val="single" w:sz="6" w:space="0" w:color="000000"/>
              <w:bottom w:val="single" w:sz="6" w:space="0" w:color="000000"/>
              <w:right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57386</w:t>
            </w:r>
          </w:p>
        </w:tc>
      </w:tr>
      <w:tr w:rsidR="00E944C2" w:rsidRPr="00AD30E8">
        <w:trPr>
          <w:cantSplit/>
          <w:tblHeader/>
          <w:jc w:val="center"/>
        </w:trPr>
        <w:tc>
          <w:tcPr>
            <w:tcW w:w="803" w:type="dxa"/>
            <w:vMerge/>
            <w:tcBorders>
              <w:top w:val="single" w:sz="8" w:space="0" w:color="000000"/>
              <w:left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3289</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4233</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4148</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4037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4072</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4035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3963</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3548</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2600</w:t>
            </w:r>
          </w:p>
        </w:tc>
        <w:tc>
          <w:tcPr>
            <w:tcW w:w="1056" w:type="dxa"/>
            <w:tcBorders>
              <w:top w:val="single" w:sz="6" w:space="0" w:color="000000"/>
              <w:bottom w:val="single" w:sz="8" w:space="0" w:color="000000"/>
              <w:right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34522</w:t>
            </w:r>
          </w:p>
        </w:tc>
      </w:tr>
      <w:tr w:rsidR="00E944C2" w:rsidRPr="00AD30E8">
        <w:trPr>
          <w:cantSplit/>
          <w:trHeight w:val="277"/>
          <w:tblHeader/>
          <w:jc w:val="center"/>
        </w:trPr>
        <w:tc>
          <w:tcPr>
            <w:tcW w:w="803"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30.06.</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2022.</w:t>
            </w:r>
          </w:p>
        </w:tc>
        <w:tc>
          <w:tcPr>
            <w:tcW w:w="849"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661</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1092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1164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1205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1127</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908</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804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759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510</w:t>
            </w:r>
          </w:p>
        </w:tc>
        <w:tc>
          <w:tcPr>
            <w:tcW w:w="105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8459</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721</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808</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827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705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449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251</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5184</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912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3523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5224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5621</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5725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5535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5050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5096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5294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4179</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46159</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3353</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3621</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3584</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3194</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2720</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2652</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2579</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2096</w:t>
            </w:r>
          </w:p>
        </w:tc>
        <w:tc>
          <w:tcPr>
            <w:tcW w:w="105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26251</w:t>
            </w:r>
          </w:p>
        </w:tc>
      </w:tr>
      <w:tr w:rsidR="00E944C2" w:rsidRPr="00AD30E8">
        <w:trPr>
          <w:cantSplit/>
          <w:tblHeader/>
          <w:jc w:val="center"/>
        </w:trPr>
        <w:tc>
          <w:tcPr>
            <w:tcW w:w="803"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31.12.</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2022.</w:t>
            </w:r>
          </w:p>
        </w:tc>
        <w:tc>
          <w:tcPr>
            <w:tcW w:w="849"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186</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950</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1142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1092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1150</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996</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845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738</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712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500</w:t>
            </w:r>
          </w:p>
        </w:tc>
        <w:tc>
          <w:tcPr>
            <w:tcW w:w="105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8311</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598</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749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752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797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634</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493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267</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5185</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903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4655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5633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5347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5536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5330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4985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4882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5102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4223</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46596</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450</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2822</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3601</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3445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3513</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3072</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2700</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2555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2496</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2206</w:t>
            </w:r>
          </w:p>
        </w:tc>
        <w:tc>
          <w:tcPr>
            <w:tcW w:w="105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26860</w:t>
            </w:r>
          </w:p>
        </w:tc>
      </w:tr>
      <w:tr w:rsidR="00E944C2" w:rsidRPr="00AD30E8">
        <w:trPr>
          <w:cantSplit/>
          <w:tblHeader/>
          <w:jc w:val="center"/>
        </w:trPr>
        <w:tc>
          <w:tcPr>
            <w:tcW w:w="803"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30.06.</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2023.</w:t>
            </w:r>
          </w:p>
        </w:tc>
        <w:tc>
          <w:tcPr>
            <w:tcW w:w="849"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161</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479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770</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874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971</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902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753</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504</w:t>
            </w:r>
          </w:p>
        </w:tc>
        <w:tc>
          <w:tcPr>
            <w:tcW w:w="105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6732</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288</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545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607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661</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570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271</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4203</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782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2813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4210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4563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4857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4867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4511</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4498</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4852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4351</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40304</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377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1646</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2814</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2981</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3096</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2839</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2417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2393</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2394</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2301</w:t>
            </w:r>
          </w:p>
        </w:tc>
        <w:tc>
          <w:tcPr>
            <w:tcW w:w="105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23258</w:t>
            </w:r>
          </w:p>
        </w:tc>
      </w:tr>
      <w:tr w:rsidR="00E944C2" w:rsidRPr="00AD30E8">
        <w:trPr>
          <w:cantSplit/>
          <w:tblHeader/>
          <w:jc w:val="center"/>
        </w:trPr>
        <w:tc>
          <w:tcPr>
            <w:tcW w:w="803"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31.12.</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2023.</w:t>
            </w:r>
          </w:p>
        </w:tc>
        <w:tc>
          <w:tcPr>
            <w:tcW w:w="849"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187</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739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907</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806</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885</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814</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679</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598</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602</w:t>
            </w:r>
          </w:p>
        </w:tc>
        <w:tc>
          <w:tcPr>
            <w:tcW w:w="57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484</w:t>
            </w:r>
          </w:p>
        </w:tc>
        <w:tc>
          <w:tcPr>
            <w:tcW w:w="1056"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6701</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445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616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557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381</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357</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267</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4173</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750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3809</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4532</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4296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4560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4546</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4273</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4300</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4575</w:t>
            </w:r>
          </w:p>
        </w:tc>
        <w:tc>
          <w:tcPr>
            <w:tcW w:w="57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4301</w:t>
            </w:r>
          </w:p>
        </w:tc>
        <w:tc>
          <w:tcPr>
            <w:tcW w:w="1056"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39942</w:t>
            </w:r>
          </w:p>
        </w:tc>
      </w:tr>
      <w:tr w:rsidR="00E944C2" w:rsidRPr="00AD30E8">
        <w:trPr>
          <w:cantSplit/>
          <w:tblHeader/>
          <w:jc w:val="center"/>
        </w:trPr>
        <w:tc>
          <w:tcPr>
            <w:tcW w:w="803"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384</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2309</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2957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2838</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2865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2648</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2345</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2277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2307</w:t>
            </w:r>
          </w:p>
        </w:tc>
        <w:tc>
          <w:tcPr>
            <w:tcW w:w="57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2333</w:t>
            </w:r>
          </w:p>
        </w:tc>
        <w:tc>
          <w:tcPr>
            <w:tcW w:w="1056"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23263</w:t>
            </w:r>
          </w:p>
        </w:tc>
      </w:tr>
      <w:tr w:rsidR="00E944C2" w:rsidRPr="00AD30E8">
        <w:trPr>
          <w:cantSplit/>
          <w:tblHeader/>
          <w:jc w:val="center"/>
        </w:trPr>
        <w:tc>
          <w:tcPr>
            <w:tcW w:w="803"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30.06.</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2024.</w:t>
            </w:r>
          </w:p>
        </w:tc>
        <w:tc>
          <w:tcPr>
            <w:tcW w:w="849"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96" w:type="dxa"/>
            <w:tcBorders>
              <w:top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179</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339</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637</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691</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749</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729</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620</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524</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524</w:t>
            </w:r>
          </w:p>
        </w:tc>
        <w:tc>
          <w:tcPr>
            <w:tcW w:w="57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461</w:t>
            </w:r>
          </w:p>
        </w:tc>
        <w:tc>
          <w:tcPr>
            <w:tcW w:w="1056"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5453</w:t>
            </w:r>
          </w:p>
        </w:tc>
      </w:tr>
      <w:tr w:rsidR="00E944C2" w:rsidRPr="00AD30E8">
        <w:trPr>
          <w:cantSplit/>
          <w:tblHeader/>
          <w:jc w:val="center"/>
        </w:trPr>
        <w:tc>
          <w:tcPr>
            <w:tcW w:w="803"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109</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217</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437</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481</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462</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368</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311</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279</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272</w:t>
            </w:r>
          </w:p>
        </w:tc>
        <w:tc>
          <w:tcPr>
            <w:tcW w:w="105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3452</w:t>
            </w:r>
          </w:p>
        </w:tc>
      </w:tr>
      <w:tr w:rsidR="00E944C2" w:rsidRPr="00AD30E8">
        <w:trPr>
          <w:cantSplit/>
          <w:tblHeader/>
          <w:jc w:val="center"/>
        </w:trPr>
        <w:tc>
          <w:tcPr>
            <w:tcW w:w="803"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restart"/>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96"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648</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2306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3396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3819</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4038</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4172</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3886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3946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4254</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4250</w:t>
            </w:r>
          </w:p>
        </w:tc>
        <w:tc>
          <w:tcPr>
            <w:tcW w:w="105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34715</w:t>
            </w:r>
          </w:p>
        </w:tc>
      </w:tr>
      <w:tr w:rsidR="00E944C2" w:rsidRPr="00AD30E8">
        <w:trPr>
          <w:cantSplit/>
          <w:tblHeader/>
          <w:jc w:val="center"/>
        </w:trPr>
        <w:tc>
          <w:tcPr>
            <w:tcW w:w="803"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849" w:type="dxa"/>
            <w:vMerge/>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96"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342</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1405</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2260</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2538</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2584</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2452</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2183</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2100</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2146</w:t>
            </w:r>
          </w:p>
        </w:tc>
        <w:tc>
          <w:tcPr>
            <w:tcW w:w="57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2387</w:t>
            </w:r>
          </w:p>
        </w:tc>
        <w:tc>
          <w:tcPr>
            <w:tcW w:w="1056"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20397</w:t>
            </w:r>
          </w:p>
        </w:tc>
      </w:tr>
    </w:tbl>
    <w:p w:rsidR="00E944C2" w:rsidRDefault="00F7666C" w:rsidP="00316155">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Posmatrano prema dužini traženja zaposlenja, zaposlenje preko jedne godine traži 4.029 lica ili 73,89% od ukupnog broja nezaposlenih na evidenciji Zavoda (na dan 30.6.2023. godine 4.944 lica ili 73,44%), preko tri godine 2.829  lica ili 51,87% nezaposlenih (30.6.2023. godine 2.567 lica ili 38,13%), a preko 5 godina 1.561 ili 28,63% (30.6.2023. godine 1.477 ili 21,94%). Navedeno ukazuje ne visoko učešće dugoročno nezaposlenih lica.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nivou Crne Gore, zaposlenje preko jedne godine traži 27.457 lica ili 79,09% od ukupnog broja nezaposlenih na evidenciji Zavoda (na dan 30.6.2023. godine 31.190 lica ili 77,39%), preko tri godine 20.385 lica ili 58,72% nezaposlenih (30.6.2023. godine 17.812 lica ili 44,19%), a preko 5 godina 12.197 ili 35,13% (30.6.2023. godine 11.300 ili 28,04%).      </w:t>
      </w: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AD30E8" w:rsidRDefault="00AD30E8" w:rsidP="00316155">
      <w:pPr>
        <w:pStyle w:val="Normal1"/>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3. Nezaposleni prema dužini traženja zaposlenja</w:t>
      </w:r>
    </w:p>
    <w:tbl>
      <w:tblPr>
        <w:tblStyle w:val="76"/>
        <w:tblW w:w="9617" w:type="dxa"/>
        <w:tblInd w:w="-228"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780"/>
        <w:gridCol w:w="1058"/>
        <w:gridCol w:w="901"/>
        <w:gridCol w:w="791"/>
        <w:gridCol w:w="900"/>
        <w:gridCol w:w="855"/>
        <w:gridCol w:w="880"/>
        <w:gridCol w:w="764"/>
        <w:gridCol w:w="764"/>
        <w:gridCol w:w="915"/>
        <w:gridCol w:w="1009"/>
      </w:tblGrid>
      <w:tr w:rsidR="00E944C2">
        <w:trPr>
          <w:cantSplit/>
          <w:tblHeader/>
        </w:trPr>
        <w:tc>
          <w:tcPr>
            <w:tcW w:w="780" w:type="dxa"/>
            <w:vMerge w:val="restart"/>
          </w:tcPr>
          <w:p w:rsidR="00E944C2" w:rsidRDefault="00E944C2" w:rsidP="00316155">
            <w:pPr>
              <w:pStyle w:val="Normal1"/>
              <w:jc w:val="both"/>
              <w:rPr>
                <w:rFonts w:ascii="Times New Roman" w:eastAsia="Times New Roman" w:hAnsi="Times New Roman" w:cs="Times New Roman"/>
                <w:sz w:val="18"/>
                <w:szCs w:val="18"/>
              </w:rPr>
            </w:pPr>
          </w:p>
          <w:p w:rsidR="00E944C2" w:rsidRDefault="00E944C2" w:rsidP="00316155">
            <w:pPr>
              <w:pStyle w:val="Normal1"/>
              <w:jc w:val="both"/>
              <w:rPr>
                <w:rFonts w:ascii="Times New Roman" w:eastAsia="Times New Roman" w:hAnsi="Times New Roman" w:cs="Times New Roman"/>
                <w:sz w:val="18"/>
                <w:szCs w:val="18"/>
              </w:rPr>
            </w:pP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Datum</w:t>
            </w:r>
          </w:p>
        </w:tc>
        <w:tc>
          <w:tcPr>
            <w:tcW w:w="1058" w:type="dxa"/>
            <w:vMerge w:val="restart"/>
          </w:tcPr>
          <w:p w:rsidR="00E944C2" w:rsidRDefault="00E944C2" w:rsidP="00316155">
            <w:pPr>
              <w:pStyle w:val="Normal1"/>
              <w:jc w:val="both"/>
              <w:rPr>
                <w:rFonts w:ascii="Times New Roman" w:eastAsia="Times New Roman" w:hAnsi="Times New Roman" w:cs="Times New Roman"/>
                <w:sz w:val="18"/>
                <w:szCs w:val="18"/>
              </w:rPr>
            </w:pPr>
          </w:p>
        </w:tc>
        <w:tc>
          <w:tcPr>
            <w:tcW w:w="901" w:type="dxa"/>
            <w:vMerge w:val="restart"/>
          </w:tcPr>
          <w:p w:rsidR="00E944C2" w:rsidRDefault="00E944C2" w:rsidP="00316155">
            <w:pPr>
              <w:pStyle w:val="Normal1"/>
              <w:jc w:val="both"/>
              <w:rPr>
                <w:rFonts w:ascii="Times New Roman" w:eastAsia="Times New Roman" w:hAnsi="Times New Roman" w:cs="Times New Roman"/>
                <w:sz w:val="18"/>
                <w:szCs w:val="18"/>
              </w:rPr>
            </w:pPr>
          </w:p>
        </w:tc>
        <w:tc>
          <w:tcPr>
            <w:tcW w:w="5869" w:type="dxa"/>
            <w:gridSpan w:val="7"/>
            <w:shd w:val="clear" w:color="auto" w:fill="2E75B5"/>
          </w:tcPr>
          <w:p w:rsidR="00E944C2" w:rsidRDefault="00F7666C" w:rsidP="00316155">
            <w:pPr>
              <w:pStyle w:val="Normal1"/>
              <w:jc w:val="both"/>
              <w:rPr>
                <w:rFonts w:ascii="Times New Roman" w:eastAsia="Times New Roman" w:hAnsi="Times New Roman" w:cs="Times New Roman"/>
                <w:color w:val="FFFFFF"/>
                <w:sz w:val="18"/>
                <w:szCs w:val="18"/>
              </w:rPr>
            </w:pPr>
            <w:r>
              <w:rPr>
                <w:rFonts w:ascii="Times New Roman" w:eastAsia="Times New Roman" w:hAnsi="Times New Roman" w:cs="Times New Roman"/>
                <w:color w:val="FFFFFF"/>
                <w:sz w:val="18"/>
                <w:szCs w:val="18"/>
              </w:rPr>
              <w:t>DUŽINA TRAŽENJA ZAPOSELENJA</w:t>
            </w:r>
          </w:p>
        </w:tc>
        <w:tc>
          <w:tcPr>
            <w:tcW w:w="1009" w:type="dxa"/>
            <w:vMerge w:val="restart"/>
          </w:tcPr>
          <w:p w:rsidR="00E944C2" w:rsidRDefault="00E944C2" w:rsidP="00316155">
            <w:pPr>
              <w:pStyle w:val="Normal1"/>
              <w:jc w:val="both"/>
              <w:rPr>
                <w:rFonts w:ascii="Times New Roman" w:eastAsia="Times New Roman" w:hAnsi="Times New Roman" w:cs="Times New Roman"/>
                <w:sz w:val="18"/>
                <w:szCs w:val="18"/>
              </w:rPr>
            </w:pPr>
          </w:p>
          <w:p w:rsidR="00E944C2" w:rsidRDefault="00E944C2" w:rsidP="00316155">
            <w:pPr>
              <w:pStyle w:val="Normal1"/>
              <w:jc w:val="both"/>
              <w:rPr>
                <w:rFonts w:ascii="Times New Roman" w:eastAsia="Times New Roman" w:hAnsi="Times New Roman" w:cs="Times New Roman"/>
                <w:sz w:val="18"/>
                <w:szCs w:val="18"/>
              </w:rPr>
            </w:pP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r>
      <w:tr w:rsidR="00E944C2">
        <w:trPr>
          <w:cantSplit/>
          <w:tblHeader/>
        </w:trPr>
        <w:tc>
          <w:tcPr>
            <w:tcW w:w="780"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9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6 mjeseci</w:t>
            </w:r>
          </w:p>
        </w:tc>
        <w:tc>
          <w:tcPr>
            <w:tcW w:w="900"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Preko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 do 9 mjeseci</w:t>
            </w:r>
          </w:p>
        </w:tc>
        <w:tc>
          <w:tcPr>
            <w:tcW w:w="855"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Preko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 do 12 mjeseci</w:t>
            </w:r>
          </w:p>
        </w:tc>
        <w:tc>
          <w:tcPr>
            <w:tcW w:w="880"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Od 1 do 3 godine</w:t>
            </w:r>
          </w:p>
        </w:tc>
        <w:tc>
          <w:tcPr>
            <w:tcW w:w="764"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Od 3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5 godina</w:t>
            </w:r>
          </w:p>
        </w:tc>
        <w:tc>
          <w:tcPr>
            <w:tcW w:w="764"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Od 5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do 8 godina</w:t>
            </w:r>
          </w:p>
        </w:tc>
        <w:tc>
          <w:tcPr>
            <w:tcW w:w="915"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Preko 8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godina</w:t>
            </w:r>
          </w:p>
        </w:tc>
        <w:tc>
          <w:tcPr>
            <w:tcW w:w="1009"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r>
      <w:tr w:rsidR="00E944C2">
        <w:trPr>
          <w:cantSplit/>
          <w:tblHeader/>
        </w:trPr>
        <w:tc>
          <w:tcPr>
            <w:tcW w:w="780"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2021.</w:t>
            </w:r>
          </w:p>
        </w:tc>
        <w:tc>
          <w:tcPr>
            <w:tcW w:w="1058"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3228</w:t>
            </w:r>
          </w:p>
        </w:tc>
        <w:tc>
          <w:tcPr>
            <w:tcW w:w="90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990</w:t>
            </w:r>
          </w:p>
        </w:tc>
        <w:tc>
          <w:tcPr>
            <w:tcW w:w="85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1486</w:t>
            </w:r>
          </w:p>
        </w:tc>
        <w:tc>
          <w:tcPr>
            <w:tcW w:w="88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3002</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1367</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767</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w:t>
            </w:r>
          </w:p>
        </w:tc>
        <w:tc>
          <w:tcPr>
            <w:tcW w:w="1009"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11151</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1943</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613</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1006</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1951</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853</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516</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129</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7011</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14037</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3971</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7580</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14878</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8999</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6123</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1798</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57386</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8144</w:t>
            </w:r>
          </w:p>
        </w:tc>
        <w:tc>
          <w:tcPr>
            <w:tcW w:w="90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2435</w:t>
            </w:r>
          </w:p>
        </w:tc>
        <w:tc>
          <w:tcPr>
            <w:tcW w:w="85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4828</w:t>
            </w:r>
          </w:p>
        </w:tc>
        <w:tc>
          <w:tcPr>
            <w:tcW w:w="88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9119</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5893</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3458</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645</w:t>
            </w:r>
          </w:p>
        </w:tc>
        <w:tc>
          <w:tcPr>
            <w:tcW w:w="1009"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34522</w:t>
            </w:r>
          </w:p>
        </w:tc>
      </w:tr>
      <w:tr w:rsidR="00E944C2">
        <w:trPr>
          <w:cantSplit/>
          <w:tblHeader/>
        </w:trPr>
        <w:tc>
          <w:tcPr>
            <w:tcW w:w="780"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w:t>
            </w:r>
          </w:p>
        </w:tc>
        <w:tc>
          <w:tcPr>
            <w:tcW w:w="1058"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1643</w:t>
            </w:r>
          </w:p>
        </w:tc>
        <w:tc>
          <w:tcPr>
            <w:tcW w:w="90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773</w:t>
            </w:r>
          </w:p>
        </w:tc>
        <w:tc>
          <w:tcPr>
            <w:tcW w:w="85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421</w:t>
            </w:r>
          </w:p>
        </w:tc>
        <w:tc>
          <w:tcPr>
            <w:tcW w:w="88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3353</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988</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977</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304</w:t>
            </w:r>
          </w:p>
        </w:tc>
        <w:tc>
          <w:tcPr>
            <w:tcW w:w="1009"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8459</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977</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475</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283</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2146</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588</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583</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132</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5184</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7552</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3988</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1878</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16711</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6522</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7750</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1758</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46159</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4210</w:t>
            </w:r>
          </w:p>
        </w:tc>
        <w:tc>
          <w:tcPr>
            <w:tcW w:w="90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2270</w:t>
            </w:r>
          </w:p>
        </w:tc>
        <w:tc>
          <w:tcPr>
            <w:tcW w:w="85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1141</w:t>
            </w:r>
          </w:p>
        </w:tc>
        <w:tc>
          <w:tcPr>
            <w:tcW w:w="88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9815</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3973</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4201</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641</w:t>
            </w:r>
          </w:p>
        </w:tc>
        <w:tc>
          <w:tcPr>
            <w:tcW w:w="1009"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26251</w:t>
            </w:r>
          </w:p>
        </w:tc>
      </w:tr>
      <w:tr w:rsidR="00E944C2">
        <w:trPr>
          <w:cantSplit/>
          <w:tblHeader/>
        </w:trPr>
        <w:tc>
          <w:tcPr>
            <w:tcW w:w="780"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w:t>
            </w:r>
          </w:p>
        </w:tc>
        <w:tc>
          <w:tcPr>
            <w:tcW w:w="1058"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2118</w:t>
            </w:r>
          </w:p>
        </w:tc>
        <w:tc>
          <w:tcPr>
            <w:tcW w:w="90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w:t>
            </w:r>
          </w:p>
        </w:tc>
        <w:tc>
          <w:tcPr>
            <w:tcW w:w="85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434</w:t>
            </w:r>
          </w:p>
        </w:tc>
        <w:tc>
          <w:tcPr>
            <w:tcW w:w="88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3050</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986</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1109</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303</w:t>
            </w:r>
          </w:p>
        </w:tc>
        <w:tc>
          <w:tcPr>
            <w:tcW w:w="1009"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8311</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1336</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193</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278</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1984</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575</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680</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139</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5185</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9835</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1683</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2337</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16145</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5818</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8966</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1812</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46596</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5725</w:t>
            </w:r>
          </w:p>
        </w:tc>
        <w:tc>
          <w:tcPr>
            <w:tcW w:w="90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954</w:t>
            </w:r>
          </w:p>
        </w:tc>
        <w:tc>
          <w:tcPr>
            <w:tcW w:w="85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1371</w:t>
            </w:r>
          </w:p>
        </w:tc>
        <w:tc>
          <w:tcPr>
            <w:tcW w:w="88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9617</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3393</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5108</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692</w:t>
            </w:r>
          </w:p>
        </w:tc>
        <w:tc>
          <w:tcPr>
            <w:tcW w:w="1009"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26860</w:t>
            </w:r>
          </w:p>
        </w:tc>
      </w:tr>
      <w:tr w:rsidR="00E944C2">
        <w:trPr>
          <w:cantSplit/>
          <w:tblHeader/>
        </w:trPr>
        <w:tc>
          <w:tcPr>
            <w:tcW w:w="780"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58"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1121</w:t>
            </w:r>
          </w:p>
        </w:tc>
        <w:tc>
          <w:tcPr>
            <w:tcW w:w="90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433</w:t>
            </w:r>
          </w:p>
        </w:tc>
        <w:tc>
          <w:tcPr>
            <w:tcW w:w="85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234</w:t>
            </w:r>
          </w:p>
        </w:tc>
        <w:tc>
          <w:tcPr>
            <w:tcW w:w="88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2377</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1090</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1163</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314</w:t>
            </w:r>
          </w:p>
        </w:tc>
        <w:tc>
          <w:tcPr>
            <w:tcW w:w="1009"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6732</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694</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297</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144</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1545</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669</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705</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149</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4203</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5584</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2263</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1267</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13378</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6512</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9366</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1934</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40304</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3058</w:t>
            </w:r>
          </w:p>
        </w:tc>
        <w:tc>
          <w:tcPr>
            <w:tcW w:w="90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1403</w:t>
            </w:r>
          </w:p>
        </w:tc>
        <w:tc>
          <w:tcPr>
            <w:tcW w:w="85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765</w:t>
            </w:r>
          </w:p>
        </w:tc>
        <w:tc>
          <w:tcPr>
            <w:tcW w:w="88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8085</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3804</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5404</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739</w:t>
            </w:r>
          </w:p>
        </w:tc>
        <w:tc>
          <w:tcPr>
            <w:tcW w:w="1009"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23258</w:t>
            </w:r>
          </w:p>
        </w:tc>
      </w:tr>
      <w:tr w:rsidR="00E944C2">
        <w:trPr>
          <w:cantSplit/>
          <w:tblHeader/>
        </w:trPr>
        <w:tc>
          <w:tcPr>
            <w:tcW w:w="780"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31.12.</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58"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1716</w:t>
            </w:r>
          </w:p>
        </w:tc>
        <w:tc>
          <w:tcPr>
            <w:tcW w:w="90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228</w:t>
            </w:r>
          </w:p>
        </w:tc>
        <w:tc>
          <w:tcPr>
            <w:tcW w:w="85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283</w:t>
            </w:r>
          </w:p>
        </w:tc>
        <w:tc>
          <w:tcPr>
            <w:tcW w:w="880"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1774</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1154</w:t>
            </w:r>
          </w:p>
        </w:tc>
        <w:tc>
          <w:tcPr>
            <w:tcW w:w="764"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1119</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427</w:t>
            </w:r>
          </w:p>
        </w:tc>
        <w:tc>
          <w:tcPr>
            <w:tcW w:w="1009"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6701</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1069</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137</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181</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1146</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749</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691</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4173</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7895</w:t>
            </w:r>
          </w:p>
        </w:tc>
        <w:tc>
          <w:tcPr>
            <w:tcW w:w="90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1217</w:t>
            </w:r>
          </w:p>
        </w:tc>
        <w:tc>
          <w:tcPr>
            <w:tcW w:w="85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1617</w:t>
            </w:r>
          </w:p>
        </w:tc>
        <w:tc>
          <w:tcPr>
            <w:tcW w:w="880"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10908</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6704</w:t>
            </w:r>
          </w:p>
        </w:tc>
        <w:tc>
          <w:tcPr>
            <w:tcW w:w="764"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8905</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2696</w:t>
            </w:r>
          </w:p>
        </w:tc>
        <w:tc>
          <w:tcPr>
            <w:tcW w:w="1009"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39942</w:t>
            </w:r>
          </w:p>
        </w:tc>
      </w:tr>
      <w:tr w:rsidR="00E944C2">
        <w:trPr>
          <w:cantSplit/>
          <w:tblHeader/>
        </w:trPr>
        <w:tc>
          <w:tcPr>
            <w:tcW w:w="780"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4636</w:t>
            </w:r>
          </w:p>
        </w:tc>
        <w:tc>
          <w:tcPr>
            <w:tcW w:w="90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668</w:t>
            </w:r>
          </w:p>
        </w:tc>
        <w:tc>
          <w:tcPr>
            <w:tcW w:w="85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887</w:t>
            </w:r>
          </w:p>
        </w:tc>
        <w:tc>
          <w:tcPr>
            <w:tcW w:w="880"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6706</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3970</w:t>
            </w:r>
          </w:p>
        </w:tc>
        <w:tc>
          <w:tcPr>
            <w:tcW w:w="764"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5276</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1120</w:t>
            </w:r>
          </w:p>
        </w:tc>
        <w:tc>
          <w:tcPr>
            <w:tcW w:w="1009"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23263</w:t>
            </w:r>
          </w:p>
        </w:tc>
      </w:tr>
      <w:tr w:rsidR="00E944C2">
        <w:trPr>
          <w:cantSplit/>
          <w:tblHeader/>
        </w:trPr>
        <w:tc>
          <w:tcPr>
            <w:tcW w:w="780"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30.06.</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1058"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901" w:type="dxa"/>
            <w:tcBorders>
              <w:top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877</w:t>
            </w:r>
          </w:p>
        </w:tc>
        <w:tc>
          <w:tcPr>
            <w:tcW w:w="900"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368</w:t>
            </w:r>
          </w:p>
        </w:tc>
        <w:tc>
          <w:tcPr>
            <w:tcW w:w="855"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179</w:t>
            </w:r>
          </w:p>
        </w:tc>
        <w:tc>
          <w:tcPr>
            <w:tcW w:w="880"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1137</w:t>
            </w:r>
          </w:p>
        </w:tc>
        <w:tc>
          <w:tcPr>
            <w:tcW w:w="764"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1331</w:t>
            </w:r>
          </w:p>
        </w:tc>
        <w:tc>
          <w:tcPr>
            <w:tcW w:w="764"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956</w:t>
            </w:r>
          </w:p>
        </w:tc>
        <w:tc>
          <w:tcPr>
            <w:tcW w:w="915"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605</w:t>
            </w:r>
          </w:p>
        </w:tc>
        <w:tc>
          <w:tcPr>
            <w:tcW w:w="1009"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5453</w:t>
            </w:r>
          </w:p>
        </w:tc>
      </w:tr>
      <w:tr w:rsidR="00E944C2">
        <w:trPr>
          <w:cantSplit/>
          <w:tblHeader/>
        </w:trPr>
        <w:tc>
          <w:tcPr>
            <w:tcW w:w="780"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582</w:t>
            </w:r>
          </w:p>
        </w:tc>
        <w:tc>
          <w:tcPr>
            <w:tcW w:w="90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246</w:t>
            </w:r>
          </w:p>
        </w:tc>
        <w:tc>
          <w:tcPr>
            <w:tcW w:w="85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w:t>
            </w:r>
          </w:p>
        </w:tc>
        <w:tc>
          <w:tcPr>
            <w:tcW w:w="88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739</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863</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540</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370</w:t>
            </w:r>
          </w:p>
        </w:tc>
        <w:tc>
          <w:tcPr>
            <w:tcW w:w="1009"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w:t>
            </w:r>
          </w:p>
        </w:tc>
      </w:tr>
      <w:tr w:rsidR="00E944C2">
        <w:trPr>
          <w:cantSplit/>
          <w:tblHeader/>
        </w:trPr>
        <w:tc>
          <w:tcPr>
            <w:tcW w:w="780"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901"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79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4358</w:t>
            </w:r>
          </w:p>
        </w:tc>
        <w:tc>
          <w:tcPr>
            <w:tcW w:w="90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1971</w:t>
            </w:r>
          </w:p>
        </w:tc>
        <w:tc>
          <w:tcPr>
            <w:tcW w:w="85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929</w:t>
            </w:r>
          </w:p>
        </w:tc>
        <w:tc>
          <w:tcPr>
            <w:tcW w:w="88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7072</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8188</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8588</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3609</w:t>
            </w:r>
          </w:p>
        </w:tc>
        <w:tc>
          <w:tcPr>
            <w:tcW w:w="1009"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34715</w:t>
            </w:r>
          </w:p>
        </w:tc>
      </w:tr>
      <w:tr w:rsidR="00E944C2">
        <w:trPr>
          <w:cantSplit/>
          <w:tblHeader/>
        </w:trPr>
        <w:tc>
          <w:tcPr>
            <w:tcW w:w="780"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8"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01"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79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2537</w:t>
            </w:r>
          </w:p>
        </w:tc>
        <w:tc>
          <w:tcPr>
            <w:tcW w:w="90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1194</w:t>
            </w:r>
          </w:p>
        </w:tc>
        <w:tc>
          <w:tcPr>
            <w:tcW w:w="85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561</w:t>
            </w:r>
          </w:p>
        </w:tc>
        <w:tc>
          <w:tcPr>
            <w:tcW w:w="880"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4213</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4968</w:t>
            </w:r>
          </w:p>
        </w:tc>
        <w:tc>
          <w:tcPr>
            <w:tcW w:w="764"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5055</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1869</w:t>
            </w:r>
          </w:p>
        </w:tc>
        <w:tc>
          <w:tcPr>
            <w:tcW w:w="1009"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20397</w:t>
            </w:r>
          </w:p>
        </w:tc>
      </w:tr>
    </w:tbl>
    <w:p w:rsidR="00E944C2" w:rsidRDefault="00F7666C" w:rsidP="00316155">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E944C2" w:rsidRDefault="00E944C2" w:rsidP="00316155">
      <w:pPr>
        <w:pStyle w:val="Normal1"/>
        <w:jc w:val="both"/>
      </w:pPr>
    </w:p>
    <w:p w:rsidR="00E944C2" w:rsidRDefault="00F7666C" w:rsidP="00316155">
      <w:pPr>
        <w:pStyle w:val="Heading3"/>
        <w:jc w:val="both"/>
      </w:pPr>
      <w:bookmarkStart w:id="16" w:name="_Toc212039505"/>
      <w:r>
        <w:t>2.3.2. Tražnja za radnom snagom</w:t>
      </w:r>
      <w:bookmarkEnd w:id="16"/>
    </w:p>
    <w:p w:rsidR="00E944C2" w:rsidRDefault="00E944C2" w:rsidP="00316155">
      <w:pPr>
        <w:pStyle w:val="Normal1"/>
        <w:spacing w:after="0" w:line="360" w:lineRule="auto"/>
        <w:jc w:val="both"/>
        <w:rPr>
          <w:rFonts w:ascii="Times New Roman" w:eastAsia="Times New Roman" w:hAnsi="Times New Roman" w:cs="Times New Roman"/>
          <w:color w:val="000000"/>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Tražnju za radnom snagom iskazujemo kroz prijavljena slobodna radna mjesta od strane poslodavaca. U prvom polugodištu 2024. godineposlodavci su Birou rada Podgorica prijavili 3.192 slobodna radna mjesta, što predstavlja 22,54% ukupne tražnje u Crnoj Gori (14.162). U odnosu na I polugodište 2023. godine prijavljeno je 867 slobodnih radnih mjesta manje ili 20,95% (u I polugodištu 2023. godine prijavljeno je 4.138 slobodnih radnih mjesta, što predstavlja 23,82% ukupne tražnje – 17.372).</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nivou Crne Gore, u prvom polugodištu 2024. godineposlodavci su Zavoduprijavili 14.101 slobodno radno mjesto. U odnosu na I polugodište 2023. godine prijavljeno je 3.271 slobodno radno mjesto manje ili 18,83% (u I polugodištu 2023. godine prijavljeno je 17.372slobodnih radnih mjesta).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Najveća tražnja je bila za srednjoškolcima (III, IV i V nivo kvalifikacije obrazovanja) 1.450 slobodnih radnih mjesta ili 45,43% (na nivou Crne Gore 6.601 ili 46,61%), zatim za visokoškolcima (VI, VII i VIII nivo) 1.165 ili 36,5% (na nivou Crne Gore 3.973 ili 28,05%), dok je tražnja za I i II nivoom iznosila 577 ili 18,08% (na nivou Crne Gore 3.588 ili 25,34%).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tražnju za visokoobrazovanim kadrom, u zadnjih desetak godina, u velikoj mjeri je uticao Program stručno osposobljavanje lica sa stečenim visokim obrazovanjem. Kako kroz navedeni program poslodavci dobijaju ''besplatnu'' radnu snagu, sa kojom u velikoj mjeri zadovoljavali kadrovske potrebe za visokoobrazovanom radnom snagom, to je i iskazana tražnja-potreba za visokoškolcima, iskazana kroz prijavljena slobodna radna mjesta, značajno manja od stvarno potrebne. </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Tabela broj 4. Pregeled prijavljenih slobodnih radnih mjesta prema nivoima kvalifikacije obrazovanja</w:t>
      </w:r>
    </w:p>
    <w:p w:rsidR="00E944C2" w:rsidRDefault="00E944C2" w:rsidP="00316155">
      <w:pPr>
        <w:pStyle w:val="Normal1"/>
        <w:spacing w:after="0" w:line="240" w:lineRule="auto"/>
        <w:jc w:val="both"/>
        <w:rPr>
          <w:rFonts w:ascii="Arial" w:eastAsia="Arial" w:hAnsi="Arial" w:cs="Arial"/>
          <w:color w:val="000000"/>
        </w:rPr>
      </w:pPr>
    </w:p>
    <w:tbl>
      <w:tblPr>
        <w:tblStyle w:val="75"/>
        <w:tblW w:w="9083" w:type="dxa"/>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974"/>
        <w:gridCol w:w="1054"/>
        <w:gridCol w:w="651"/>
        <w:gridCol w:w="651"/>
        <w:gridCol w:w="651"/>
        <w:gridCol w:w="651"/>
        <w:gridCol w:w="541"/>
        <w:gridCol w:w="541"/>
        <w:gridCol w:w="541"/>
        <w:gridCol w:w="651"/>
        <w:gridCol w:w="642"/>
        <w:gridCol w:w="633"/>
        <w:gridCol w:w="902"/>
      </w:tblGrid>
      <w:tr w:rsidR="00E944C2">
        <w:trPr>
          <w:cantSplit/>
          <w:trHeight w:val="390"/>
          <w:tblHeader/>
        </w:trPr>
        <w:tc>
          <w:tcPr>
            <w:tcW w:w="974"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Period</w:t>
            </w:r>
          </w:p>
        </w:tc>
        <w:tc>
          <w:tcPr>
            <w:tcW w:w="1054" w:type="dxa"/>
            <w:vMerge w:val="restart"/>
          </w:tcPr>
          <w:p w:rsidR="00E944C2" w:rsidRDefault="00E944C2" w:rsidP="00316155">
            <w:pPr>
              <w:pStyle w:val="Normal1"/>
              <w:jc w:val="both"/>
              <w:rPr>
                <w:rFonts w:ascii="Times New Roman" w:eastAsia="Times New Roman" w:hAnsi="Times New Roman" w:cs="Times New Roman"/>
                <w:sz w:val="18"/>
                <w:szCs w:val="18"/>
              </w:rPr>
            </w:pPr>
          </w:p>
        </w:tc>
        <w:tc>
          <w:tcPr>
            <w:tcW w:w="6153" w:type="dxa"/>
            <w:gridSpan w:val="10"/>
            <w:shd w:val="clear" w:color="auto" w:fill="2E75B5"/>
          </w:tcPr>
          <w:p w:rsidR="00E944C2" w:rsidRDefault="00F7666C" w:rsidP="00316155">
            <w:pPr>
              <w:pStyle w:val="Normal1"/>
              <w:jc w:val="both"/>
              <w:rPr>
                <w:rFonts w:ascii="Times New Roman" w:eastAsia="Times New Roman" w:hAnsi="Times New Roman" w:cs="Times New Roman"/>
                <w:color w:val="FFFFFF"/>
                <w:sz w:val="18"/>
                <w:szCs w:val="18"/>
              </w:rPr>
            </w:pPr>
            <w:r>
              <w:rPr>
                <w:rFonts w:ascii="Times New Roman" w:eastAsia="Times New Roman" w:hAnsi="Times New Roman" w:cs="Times New Roman"/>
                <w:color w:val="FFFFFF"/>
                <w:sz w:val="18"/>
                <w:szCs w:val="18"/>
              </w:rPr>
              <w:t>NIVO KVALIFIKACIJE OBRAZOVANJA</w:t>
            </w:r>
          </w:p>
        </w:tc>
        <w:tc>
          <w:tcPr>
            <w:tcW w:w="902" w:type="dxa"/>
            <w:vMerge w:val="restart"/>
          </w:tcPr>
          <w:p w:rsidR="00E944C2" w:rsidRDefault="00E944C2" w:rsidP="00316155">
            <w:pPr>
              <w:pStyle w:val="Normal1"/>
              <w:jc w:val="both"/>
              <w:rPr>
                <w:rFonts w:ascii="Times New Roman" w:eastAsia="Times New Roman" w:hAnsi="Times New Roman" w:cs="Times New Roman"/>
                <w:sz w:val="18"/>
                <w:szCs w:val="18"/>
              </w:rPr>
            </w:pP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r>
      <w:tr w:rsidR="00E944C2">
        <w:trPr>
          <w:cantSplit/>
          <w:trHeight w:val="144"/>
          <w:tblHeader/>
        </w:trPr>
        <w:tc>
          <w:tcPr>
            <w:tcW w:w="974"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4"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65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w:t>
            </w:r>
          </w:p>
        </w:tc>
        <w:tc>
          <w:tcPr>
            <w:tcW w:w="65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II</w:t>
            </w:r>
          </w:p>
        </w:tc>
        <w:tc>
          <w:tcPr>
            <w:tcW w:w="65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III</w:t>
            </w:r>
          </w:p>
        </w:tc>
        <w:tc>
          <w:tcPr>
            <w:tcW w:w="65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IV-1</w:t>
            </w:r>
          </w:p>
        </w:tc>
        <w:tc>
          <w:tcPr>
            <w:tcW w:w="54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VI-2</w:t>
            </w:r>
          </w:p>
        </w:tc>
        <w:tc>
          <w:tcPr>
            <w:tcW w:w="54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w:t>
            </w:r>
          </w:p>
        </w:tc>
        <w:tc>
          <w:tcPr>
            <w:tcW w:w="54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w:t>
            </w:r>
          </w:p>
        </w:tc>
        <w:tc>
          <w:tcPr>
            <w:tcW w:w="65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VII-1</w:t>
            </w:r>
          </w:p>
        </w:tc>
        <w:tc>
          <w:tcPr>
            <w:tcW w:w="642"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VII-2</w:t>
            </w:r>
          </w:p>
        </w:tc>
        <w:tc>
          <w:tcPr>
            <w:tcW w:w="633"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VIII</w:t>
            </w:r>
          </w:p>
        </w:tc>
        <w:tc>
          <w:tcPr>
            <w:tcW w:w="902"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r>
      <w:tr w:rsidR="00E944C2">
        <w:trPr>
          <w:cantSplit/>
          <w:trHeight w:val="390"/>
          <w:tblHeader/>
        </w:trPr>
        <w:tc>
          <w:tcPr>
            <w:tcW w:w="974"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2021. godina</w:t>
            </w:r>
          </w:p>
        </w:tc>
        <w:tc>
          <w:tcPr>
            <w:tcW w:w="1054"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1178</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1049</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2067</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196</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1781</w:t>
            </w:r>
          </w:p>
        </w:tc>
        <w:tc>
          <w:tcPr>
            <w:tcW w:w="642"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w:t>
            </w:r>
          </w:p>
        </w:tc>
        <w:tc>
          <w:tcPr>
            <w:tcW w:w="633"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w:t>
            </w:r>
          </w:p>
        </w:tc>
        <w:tc>
          <w:tcPr>
            <w:tcW w:w="902"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6576</w:t>
            </w:r>
          </w:p>
        </w:tc>
      </w:tr>
      <w:tr w:rsidR="00E944C2">
        <w:trPr>
          <w:cantSplit/>
          <w:trHeight w:val="144"/>
          <w:tblHeader/>
        </w:trPr>
        <w:tc>
          <w:tcPr>
            <w:tcW w:w="974"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4"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4820</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1340</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4544</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6937</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120</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709</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204</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5173</w:t>
            </w:r>
          </w:p>
        </w:tc>
        <w:tc>
          <w:tcPr>
            <w:tcW w:w="642"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175</w:t>
            </w:r>
          </w:p>
        </w:tc>
        <w:tc>
          <w:tcPr>
            <w:tcW w:w="633"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102</w:t>
            </w:r>
          </w:p>
        </w:tc>
        <w:tc>
          <w:tcPr>
            <w:tcW w:w="902"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24124</w:t>
            </w:r>
          </w:p>
        </w:tc>
      </w:tr>
      <w:tr w:rsidR="00E944C2">
        <w:trPr>
          <w:cantSplit/>
          <w:trHeight w:val="390"/>
          <w:tblHeader/>
        </w:trPr>
        <w:tc>
          <w:tcPr>
            <w:tcW w:w="974"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 godina</w:t>
            </w:r>
          </w:p>
        </w:tc>
        <w:tc>
          <w:tcPr>
            <w:tcW w:w="1054" w:type="dxa"/>
            <w:tcBorders>
              <w:top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1039</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91</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1701</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2011</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222</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2566</w:t>
            </w:r>
          </w:p>
        </w:tc>
        <w:tc>
          <w:tcPr>
            <w:tcW w:w="642"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w:t>
            </w:r>
          </w:p>
        </w:tc>
        <w:tc>
          <w:tcPr>
            <w:tcW w:w="633"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w:t>
            </w:r>
          </w:p>
        </w:tc>
        <w:tc>
          <w:tcPr>
            <w:tcW w:w="902"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7966</w:t>
            </w:r>
          </w:p>
        </w:tc>
      </w:tr>
      <w:tr w:rsidR="00E944C2">
        <w:trPr>
          <w:cantSplit/>
          <w:trHeight w:val="144"/>
          <w:tblHeader/>
        </w:trPr>
        <w:tc>
          <w:tcPr>
            <w:tcW w:w="974"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4"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65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4761</w:t>
            </w:r>
          </w:p>
        </w:tc>
        <w:tc>
          <w:tcPr>
            <w:tcW w:w="65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1566</w:t>
            </w:r>
          </w:p>
        </w:tc>
        <w:tc>
          <w:tcPr>
            <w:tcW w:w="65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6007</w:t>
            </w:r>
          </w:p>
        </w:tc>
        <w:tc>
          <w:tcPr>
            <w:tcW w:w="65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6572</w:t>
            </w:r>
          </w:p>
        </w:tc>
        <w:tc>
          <w:tcPr>
            <w:tcW w:w="54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120</w:t>
            </w:r>
          </w:p>
        </w:tc>
        <w:tc>
          <w:tcPr>
            <w:tcW w:w="54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877</w:t>
            </w:r>
          </w:p>
        </w:tc>
        <w:tc>
          <w:tcPr>
            <w:tcW w:w="54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273</w:t>
            </w:r>
          </w:p>
        </w:tc>
        <w:tc>
          <w:tcPr>
            <w:tcW w:w="651"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7504</w:t>
            </w:r>
          </w:p>
        </w:tc>
        <w:tc>
          <w:tcPr>
            <w:tcW w:w="642"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197</w:t>
            </w:r>
          </w:p>
        </w:tc>
        <w:tc>
          <w:tcPr>
            <w:tcW w:w="633"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w:t>
            </w:r>
          </w:p>
        </w:tc>
        <w:tc>
          <w:tcPr>
            <w:tcW w:w="902" w:type="dxa"/>
            <w:tcBorders>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27974</w:t>
            </w:r>
          </w:p>
        </w:tc>
      </w:tr>
      <w:tr w:rsidR="00E944C2">
        <w:trPr>
          <w:cantSplit/>
          <w:trHeight w:val="390"/>
          <w:tblHeader/>
        </w:trPr>
        <w:tc>
          <w:tcPr>
            <w:tcW w:w="974"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 godina</w:t>
            </w:r>
          </w:p>
        </w:tc>
        <w:tc>
          <w:tcPr>
            <w:tcW w:w="1054"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968</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1634</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1942</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190</w:t>
            </w:r>
          </w:p>
        </w:tc>
        <w:tc>
          <w:tcPr>
            <w:tcW w:w="54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170</w:t>
            </w:r>
          </w:p>
        </w:tc>
        <w:tc>
          <w:tcPr>
            <w:tcW w:w="65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2617</w:t>
            </w:r>
          </w:p>
        </w:tc>
        <w:tc>
          <w:tcPr>
            <w:tcW w:w="642"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w:t>
            </w:r>
          </w:p>
        </w:tc>
        <w:tc>
          <w:tcPr>
            <w:tcW w:w="633"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w:t>
            </w:r>
          </w:p>
        </w:tc>
        <w:tc>
          <w:tcPr>
            <w:tcW w:w="902"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7745</w:t>
            </w:r>
          </w:p>
        </w:tc>
      </w:tr>
      <w:tr w:rsidR="00E944C2">
        <w:trPr>
          <w:cantSplit/>
          <w:trHeight w:val="144"/>
          <w:tblHeader/>
        </w:trPr>
        <w:tc>
          <w:tcPr>
            <w:tcW w:w="974"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4"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5130</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1508</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6516</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6700</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106</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850</w:t>
            </w:r>
          </w:p>
        </w:tc>
        <w:tc>
          <w:tcPr>
            <w:tcW w:w="54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296</w:t>
            </w:r>
          </w:p>
        </w:tc>
        <w:tc>
          <w:tcPr>
            <w:tcW w:w="651"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8165</w:t>
            </w:r>
          </w:p>
        </w:tc>
        <w:tc>
          <w:tcPr>
            <w:tcW w:w="642"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230</w:t>
            </w:r>
          </w:p>
        </w:tc>
        <w:tc>
          <w:tcPr>
            <w:tcW w:w="633"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79</w:t>
            </w:r>
          </w:p>
        </w:tc>
        <w:tc>
          <w:tcPr>
            <w:tcW w:w="902"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29580</w:t>
            </w:r>
          </w:p>
        </w:tc>
      </w:tr>
      <w:tr w:rsidR="00E944C2">
        <w:trPr>
          <w:cantSplit/>
          <w:trHeight w:val="390"/>
          <w:tblHeader/>
        </w:trPr>
        <w:tc>
          <w:tcPr>
            <w:tcW w:w="974"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1.1-30.6.2024.</w:t>
            </w:r>
          </w:p>
        </w:tc>
        <w:tc>
          <w:tcPr>
            <w:tcW w:w="1054" w:type="dxa"/>
            <w:tcBorders>
              <w:top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571</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645</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774</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w:t>
            </w:r>
          </w:p>
        </w:tc>
        <w:tc>
          <w:tcPr>
            <w:tcW w:w="54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62</w:t>
            </w:r>
          </w:p>
        </w:tc>
        <w:tc>
          <w:tcPr>
            <w:tcW w:w="65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1010</w:t>
            </w:r>
          </w:p>
        </w:tc>
        <w:tc>
          <w:tcPr>
            <w:tcW w:w="642"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60</w:t>
            </w:r>
          </w:p>
        </w:tc>
        <w:tc>
          <w:tcPr>
            <w:tcW w:w="633"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w:t>
            </w:r>
          </w:p>
        </w:tc>
        <w:tc>
          <w:tcPr>
            <w:tcW w:w="902"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3192</w:t>
            </w:r>
          </w:p>
        </w:tc>
      </w:tr>
      <w:tr w:rsidR="00E944C2">
        <w:trPr>
          <w:cantSplit/>
          <w:trHeight w:val="144"/>
          <w:tblHeader/>
        </w:trPr>
        <w:tc>
          <w:tcPr>
            <w:tcW w:w="974"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54"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65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2795</w:t>
            </w:r>
          </w:p>
        </w:tc>
        <w:tc>
          <w:tcPr>
            <w:tcW w:w="65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793</w:t>
            </w:r>
          </w:p>
        </w:tc>
        <w:tc>
          <w:tcPr>
            <w:tcW w:w="65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2846</w:t>
            </w:r>
          </w:p>
        </w:tc>
        <w:tc>
          <w:tcPr>
            <w:tcW w:w="65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3434</w:t>
            </w:r>
          </w:p>
        </w:tc>
        <w:tc>
          <w:tcPr>
            <w:tcW w:w="54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w:t>
            </w:r>
          </w:p>
        </w:tc>
        <w:tc>
          <w:tcPr>
            <w:tcW w:w="54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248</w:t>
            </w:r>
          </w:p>
        </w:tc>
        <w:tc>
          <w:tcPr>
            <w:tcW w:w="54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123</w:t>
            </w:r>
          </w:p>
        </w:tc>
        <w:tc>
          <w:tcPr>
            <w:tcW w:w="65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3688</w:t>
            </w:r>
          </w:p>
        </w:tc>
        <w:tc>
          <w:tcPr>
            <w:tcW w:w="642"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w:t>
            </w:r>
          </w:p>
        </w:tc>
        <w:tc>
          <w:tcPr>
            <w:tcW w:w="633"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w:t>
            </w:r>
          </w:p>
        </w:tc>
        <w:tc>
          <w:tcPr>
            <w:tcW w:w="902"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14162</w:t>
            </w:r>
          </w:p>
        </w:tc>
      </w:tr>
    </w:tbl>
    <w:p w:rsidR="00E944C2" w:rsidRDefault="00F7666C" w:rsidP="00E36C81">
      <w:pPr>
        <w:pStyle w:val="Normal1"/>
        <w:jc w:val="both"/>
        <w:rPr>
          <w:rFonts w:ascii="Times New Roman" w:eastAsia="Times New Roman" w:hAnsi="Times New Roman" w:cs="Times New Roman"/>
          <w:i/>
        </w:rPr>
      </w:pPr>
      <w:r>
        <w:rPr>
          <w:rFonts w:ascii="Times New Roman" w:eastAsia="Times New Roman" w:hAnsi="Times New Roman" w:cs="Times New Roman"/>
          <w:i/>
          <w:sz w:val="20"/>
          <w:szCs w:val="20"/>
        </w:rPr>
        <w:t>Izvor: Zavod za zapošljavanje Crne Gore</w:t>
      </w:r>
    </w:p>
    <w:p w:rsidR="00E944C2" w:rsidRDefault="00E944C2" w:rsidP="00316155">
      <w:pPr>
        <w:pStyle w:val="Normal1"/>
        <w:jc w:val="both"/>
        <w:rPr>
          <w:rFonts w:ascii="Arial" w:eastAsia="Arial" w:hAnsi="Arial" w:cs="Arial"/>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Posmatrano prema djelatnostima poslodavaca, najveća tražnja je bila iz djelatnosti trgovina na veliko i trgovina na malo, popravka motornih vozila i motocikala – 751 ili 23,53% (na nivou Crne Gore 1.967 ili 13,89%), zatim obrazovanju 501 ili 15,7% (na nivou Crne Gore 2.877 ili 20,29%) i državna uprava i odbrana, obavezo socijalno osiguranje – 305 ili 9,56% (na nivou Crne Gore 744 ili 5,25%).</w:t>
      </w: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E944C2" w:rsidRDefault="00F7666C" w:rsidP="00E36C81">
      <w:pPr>
        <w:pStyle w:val="Normal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Tabela broj 5. Pregled prijavljenih slobodnih radnih mjesta prema djelatnostima poslodavaca</w:t>
      </w:r>
    </w:p>
    <w:p w:rsidR="00E944C2" w:rsidRDefault="00E944C2" w:rsidP="00316155">
      <w:pPr>
        <w:pStyle w:val="Normal1"/>
        <w:jc w:val="both"/>
      </w:pPr>
    </w:p>
    <w:tbl>
      <w:tblPr>
        <w:tblStyle w:val="74"/>
        <w:tblW w:w="9481"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2546"/>
        <w:gridCol w:w="981"/>
        <w:gridCol w:w="734"/>
        <w:gridCol w:w="1005"/>
        <w:gridCol w:w="734"/>
        <w:gridCol w:w="1005"/>
        <w:gridCol w:w="734"/>
        <w:gridCol w:w="1005"/>
        <w:gridCol w:w="737"/>
      </w:tblGrid>
      <w:tr w:rsidR="00E944C2" w:rsidTr="00900D75">
        <w:trPr>
          <w:cantSplit/>
          <w:trHeight w:val="402"/>
          <w:tblHeader/>
          <w:jc w:val="center"/>
        </w:trPr>
        <w:tc>
          <w:tcPr>
            <w:tcW w:w="2546" w:type="dxa"/>
          </w:tcPr>
          <w:p w:rsidR="00E944C2" w:rsidRDefault="00E944C2" w:rsidP="00316155">
            <w:pPr>
              <w:pStyle w:val="Normal1"/>
              <w:jc w:val="both"/>
              <w:rPr>
                <w:rFonts w:ascii="Times New Roman" w:eastAsia="Times New Roman" w:hAnsi="Times New Roman" w:cs="Times New Roman"/>
                <w:sz w:val="18"/>
                <w:szCs w:val="18"/>
              </w:rPr>
            </w:pPr>
          </w:p>
        </w:tc>
        <w:tc>
          <w:tcPr>
            <w:tcW w:w="6935" w:type="dxa"/>
            <w:gridSpan w:val="8"/>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PERIOD</w:t>
            </w:r>
          </w:p>
        </w:tc>
      </w:tr>
      <w:tr w:rsidR="00E944C2" w:rsidTr="00900D75">
        <w:trPr>
          <w:cantSplit/>
          <w:trHeight w:val="402"/>
          <w:tblHeader/>
          <w:jc w:val="center"/>
        </w:trPr>
        <w:tc>
          <w:tcPr>
            <w:tcW w:w="2546" w:type="dxa"/>
            <w:tcBorders>
              <w:right w:val="single" w:sz="8" w:space="0" w:color="000000"/>
            </w:tcBorders>
          </w:tcPr>
          <w:p w:rsidR="00E944C2" w:rsidRDefault="00E944C2" w:rsidP="00316155">
            <w:pPr>
              <w:pStyle w:val="Normal1"/>
              <w:jc w:val="both"/>
              <w:rPr>
                <w:rFonts w:ascii="Times New Roman" w:eastAsia="Times New Roman" w:hAnsi="Times New Roman" w:cs="Times New Roman"/>
                <w:sz w:val="18"/>
                <w:szCs w:val="18"/>
              </w:rPr>
            </w:pPr>
          </w:p>
        </w:tc>
        <w:tc>
          <w:tcPr>
            <w:tcW w:w="1715" w:type="dxa"/>
            <w:gridSpan w:val="2"/>
            <w:tcBorders>
              <w:top w:val="single" w:sz="8" w:space="0" w:color="000000"/>
              <w:left w:val="single" w:sz="8"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2021. godina</w:t>
            </w:r>
          </w:p>
        </w:tc>
        <w:tc>
          <w:tcPr>
            <w:tcW w:w="1739" w:type="dxa"/>
            <w:gridSpan w:val="2"/>
            <w:tcBorders>
              <w:top w:val="single" w:sz="8" w:space="0" w:color="000000"/>
              <w:left w:val="single" w:sz="8"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 godina</w:t>
            </w:r>
          </w:p>
        </w:tc>
        <w:tc>
          <w:tcPr>
            <w:tcW w:w="1739" w:type="dxa"/>
            <w:gridSpan w:val="2"/>
            <w:tcBorders>
              <w:top w:val="single" w:sz="8" w:space="0" w:color="000000"/>
              <w:left w:val="single" w:sz="8"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 godina</w:t>
            </w:r>
          </w:p>
        </w:tc>
        <w:tc>
          <w:tcPr>
            <w:tcW w:w="1742" w:type="dxa"/>
            <w:gridSpan w:val="2"/>
            <w:tcBorders>
              <w:top w:val="single" w:sz="8" w:space="0" w:color="000000"/>
              <w:left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1.1-30.6.2024.</w:t>
            </w:r>
          </w:p>
        </w:tc>
      </w:tr>
      <w:tr w:rsidR="00E944C2">
        <w:trPr>
          <w:cantSplit/>
          <w:trHeight w:val="386"/>
          <w:tblHeader/>
          <w:jc w:val="center"/>
        </w:trPr>
        <w:tc>
          <w:tcPr>
            <w:tcW w:w="2546" w:type="dxa"/>
            <w:tcBorders>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Djelatnost poslodavaca</w:t>
            </w:r>
          </w:p>
        </w:tc>
        <w:tc>
          <w:tcPr>
            <w:tcW w:w="981" w:type="dxa"/>
            <w:tcBorders>
              <w:top w:val="single" w:sz="6" w:space="0" w:color="000000"/>
              <w:left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34" w:type="dxa"/>
            <w:tcBorders>
              <w:top w:val="single" w:sz="6"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CG</w:t>
            </w:r>
          </w:p>
        </w:tc>
        <w:tc>
          <w:tcPr>
            <w:tcW w:w="1005" w:type="dxa"/>
            <w:tcBorders>
              <w:top w:val="single" w:sz="6" w:space="0" w:color="000000"/>
              <w:left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34" w:type="dxa"/>
            <w:tcBorders>
              <w:top w:val="single" w:sz="6"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CG</w:t>
            </w:r>
          </w:p>
        </w:tc>
        <w:tc>
          <w:tcPr>
            <w:tcW w:w="1005" w:type="dxa"/>
            <w:tcBorders>
              <w:top w:val="single" w:sz="6" w:space="0" w:color="000000"/>
              <w:left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34" w:type="dxa"/>
            <w:tcBorders>
              <w:top w:val="single" w:sz="6" w:space="0" w:color="000000"/>
              <w:bottom w:val="single" w:sz="6" w:space="0" w:color="000000"/>
              <w:right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CG</w:t>
            </w:r>
          </w:p>
        </w:tc>
        <w:tc>
          <w:tcPr>
            <w:tcW w:w="1005" w:type="dxa"/>
            <w:tcBorders>
              <w:top w:val="single" w:sz="6" w:space="0" w:color="000000"/>
              <w:left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37"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CG</w:t>
            </w:r>
          </w:p>
        </w:tc>
      </w:tr>
      <w:tr w:rsidR="00E944C2">
        <w:trPr>
          <w:cantSplit/>
          <w:trHeight w:val="633"/>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A.Poljoprivreda, šumarstvo i ribarstvo</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406</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475</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191</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268</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119</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107</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130</w:t>
            </w:r>
          </w:p>
        </w:tc>
      </w:tr>
      <w:tr w:rsidR="00E944C2">
        <w:trPr>
          <w:cantSplit/>
          <w:trHeight w:val="402"/>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B.Rudarstvo</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116</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w:t>
            </w:r>
          </w:p>
        </w:tc>
      </w:tr>
      <w:tr w:rsidR="00E944C2">
        <w:trPr>
          <w:cantSplit/>
          <w:trHeight w:val="402"/>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C.Prerađivačka industrija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206</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977</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150</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1194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365</w:t>
            </w:r>
          </w:p>
        </w:tc>
      </w:tr>
      <w:tr w:rsidR="00E944C2">
        <w:trPr>
          <w:cantSplit/>
          <w:trHeight w:val="865"/>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D.Snabdijevanje električnom energijom, gasom, parom i klimatizacija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138</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203</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E.Snabdijevanje vodom; upravljanje otpadnim vodama, kontrolisanje procesa uklanjanja otpada i slične aktivnosti</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381</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472</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275</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F.Građevinarstvo</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455</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1310</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1691</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926</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1889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231</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688</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G.Trgovina na veliko i trgovina na malo; popravka motornih vozila i motocikala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3049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1230</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3365</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1340</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3821</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751</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1967</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H.Saobraćaj i skladištenje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375</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1047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1083</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199</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1276</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619</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I.Usluge smještaja i ishrane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4643</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338</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5199</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4906</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136</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3574</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J.Informisanje i komunikacije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378</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546</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165</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K.Finansijske djelatnosti i djelatnost osiguranja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313</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246</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304</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283</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175</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218</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L.Poslovanje nekretninama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303</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253</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185</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M.Stručne, naučne, inovacione i tehničke djelatnosti</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769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541</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930</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395</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340</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N.Administrativne i pomoćne uslužne djelatnosti</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486</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2137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1913</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308</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1449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711</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O.Državna uprava i odbrana; Obavezno socijalno osiguranje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1001</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827</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1722</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802</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1954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305</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744</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P.Obrazovanje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969</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3924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1459</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6109</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1620</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6534</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501</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2874</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Q.Zdravstvena i socijalna zaštita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831</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2427</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1936</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621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2435</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299</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890</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R.Umjetnost,zabava i rekreacija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329</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139</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419</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146</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463</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53</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197</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S.Ostale uslužne djelatnosti</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615</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549</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725</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146</w:t>
            </w:r>
          </w:p>
        </w:tc>
      </w:tr>
    </w:tbl>
    <w:p w:rsidR="00900D75" w:rsidRDefault="00900D75"/>
    <w:tbl>
      <w:tblPr>
        <w:tblStyle w:val="74"/>
        <w:tblW w:w="9481"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2546"/>
        <w:gridCol w:w="981"/>
        <w:gridCol w:w="734"/>
        <w:gridCol w:w="1005"/>
        <w:gridCol w:w="734"/>
        <w:gridCol w:w="1005"/>
        <w:gridCol w:w="734"/>
        <w:gridCol w:w="1005"/>
        <w:gridCol w:w="737"/>
      </w:tblGrid>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T.Djelatnost domaćinstva kao poslodavca; Djelatnost domaćinstava koja proizvode robu i usluge za sopstvene potrebe</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U.Djelatnost eksteritorijalnih organizacija i tijela</w:t>
            </w:r>
          </w:p>
        </w:tc>
        <w:tc>
          <w:tcPr>
            <w:tcW w:w="981"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0</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734" w:type="dxa"/>
            <w:tcBorders>
              <w:top w:val="single" w:sz="6" w:space="0" w:color="000000"/>
              <w:bottom w:val="single" w:sz="6"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w:t>
            </w:r>
          </w:p>
        </w:tc>
        <w:tc>
          <w:tcPr>
            <w:tcW w:w="1005" w:type="dxa"/>
            <w:tcBorders>
              <w:top w:val="single" w:sz="6" w:space="0" w:color="000000"/>
              <w:left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734" w:type="dxa"/>
            <w:tcBorders>
              <w:top w:val="single" w:sz="6" w:space="0" w:color="000000"/>
              <w:bottom w:val="single" w:sz="6"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w:t>
            </w:r>
          </w:p>
        </w:tc>
        <w:tc>
          <w:tcPr>
            <w:tcW w:w="1005" w:type="dxa"/>
            <w:tcBorders>
              <w:top w:val="single" w:sz="6" w:space="0" w:color="000000"/>
              <w:left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c>
          <w:tcPr>
            <w:tcW w:w="737"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w:t>
            </w:r>
          </w:p>
        </w:tc>
      </w:tr>
      <w:tr w:rsidR="00E944C2">
        <w:trPr>
          <w:cantSplit/>
          <w:trHeight w:val="148"/>
          <w:tblHeader/>
          <w:jc w:val="center"/>
        </w:trPr>
        <w:tc>
          <w:tcPr>
            <w:tcW w:w="2546" w:type="dxa"/>
            <w:tcBorders>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 CRNA GORA=</w:t>
            </w:r>
          </w:p>
        </w:tc>
        <w:tc>
          <w:tcPr>
            <w:tcW w:w="981" w:type="dxa"/>
            <w:tcBorders>
              <w:top w:val="single" w:sz="6" w:space="0" w:color="000000"/>
              <w:left w:val="single" w:sz="8"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6576</w:t>
            </w:r>
          </w:p>
        </w:tc>
        <w:tc>
          <w:tcPr>
            <w:tcW w:w="734" w:type="dxa"/>
            <w:tcBorders>
              <w:top w:val="single" w:sz="6" w:space="0" w:color="000000"/>
              <w:bottom w:val="single" w:sz="8"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24124</w:t>
            </w:r>
          </w:p>
        </w:tc>
        <w:tc>
          <w:tcPr>
            <w:tcW w:w="1005" w:type="dxa"/>
            <w:tcBorders>
              <w:top w:val="single" w:sz="6" w:space="0" w:color="000000"/>
              <w:left w:val="single" w:sz="8"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7966</w:t>
            </w:r>
          </w:p>
        </w:tc>
        <w:tc>
          <w:tcPr>
            <w:tcW w:w="734" w:type="dxa"/>
            <w:tcBorders>
              <w:top w:val="single" w:sz="6" w:space="0" w:color="000000"/>
              <w:bottom w:val="single" w:sz="8" w:space="0" w:color="000000"/>
              <w:right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27974</w:t>
            </w:r>
          </w:p>
        </w:tc>
        <w:tc>
          <w:tcPr>
            <w:tcW w:w="1005" w:type="dxa"/>
            <w:tcBorders>
              <w:top w:val="single" w:sz="6" w:space="0" w:color="000000"/>
              <w:left w:val="single" w:sz="8" w:space="0" w:color="000000"/>
              <w:bottom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7745</w:t>
            </w:r>
          </w:p>
        </w:tc>
        <w:tc>
          <w:tcPr>
            <w:tcW w:w="734" w:type="dxa"/>
            <w:tcBorders>
              <w:top w:val="single" w:sz="6" w:space="0" w:color="000000"/>
              <w:bottom w:val="single" w:sz="8" w:space="0" w:color="000000"/>
              <w:right w:val="single" w:sz="8"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29580</w:t>
            </w:r>
          </w:p>
        </w:tc>
        <w:tc>
          <w:tcPr>
            <w:tcW w:w="1005" w:type="dxa"/>
            <w:tcBorders>
              <w:top w:val="single" w:sz="6" w:space="0" w:color="000000"/>
              <w:left w:val="single" w:sz="8"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3192</w:t>
            </w:r>
          </w:p>
        </w:tc>
        <w:tc>
          <w:tcPr>
            <w:tcW w:w="737" w:type="dxa"/>
            <w:tcBorders>
              <w:top w:val="single" w:sz="6" w:space="0" w:color="000000"/>
              <w:bottom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14162</w:t>
            </w:r>
          </w:p>
        </w:tc>
      </w:tr>
    </w:tbl>
    <w:p w:rsidR="00E944C2" w:rsidRDefault="00F7666C" w:rsidP="00316155">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E944C2" w:rsidRDefault="00E944C2" w:rsidP="00316155">
      <w:pPr>
        <w:pStyle w:val="Normal1"/>
        <w:jc w:val="both"/>
      </w:pPr>
    </w:p>
    <w:p w:rsidR="00E944C2" w:rsidRDefault="00F7666C" w:rsidP="00E36C81">
      <w:pPr>
        <w:pStyle w:val="Normal1"/>
        <w:spacing w:after="0" w:line="360" w:lineRule="auto"/>
        <w:jc w:val="both"/>
        <w:rPr>
          <w:rFonts w:ascii="Times New Roman" w:eastAsia="Times New Roman" w:hAnsi="Times New Roman" w:cs="Times New Roman"/>
          <w:color w:val="000000"/>
          <w:sz w:val="24"/>
          <w:szCs w:val="24"/>
          <w:highlight w:val="white"/>
        </w:rPr>
      </w:pPr>
      <w:r>
        <w:rPr>
          <w:rFonts w:ascii="Times New Roman" w:eastAsia="Times New Roman" w:hAnsi="Times New Roman" w:cs="Times New Roman"/>
          <w:color w:val="000000"/>
          <w:sz w:val="24"/>
          <w:szCs w:val="24"/>
          <w:highlight w:val="white"/>
        </w:rPr>
        <w:t xml:space="preserve">Prema povratnim informacijama dobijenim od strane Poreske uprave Crne Gore, u prvom polugodištu 2024. godine, posredstvom Zavoda za zapošljavanje Crne Gore zaposlenje je dobilo 1.619 lica sa evidencije Biroa rada Podgorica, od čega je 988 ili 61,02% žena (na nivou Crne Gore 6.526, od čega 3.802 žene ili 58,26%). U istom periodu 2023. godine zaposlenje je dobilo 2.125 lica, od čega je 1.276 žena ili 60,04% (na nivou Crne Gore 8.720 lica, od čega je 4.875 žena ili 55,91%).  </w:t>
      </w:r>
    </w:p>
    <w:p w:rsidR="00E944C2" w:rsidRDefault="00E944C2" w:rsidP="00E36C81">
      <w:pPr>
        <w:pStyle w:val="Normal1"/>
        <w:spacing w:after="0" w:line="360" w:lineRule="auto"/>
        <w:jc w:val="both"/>
        <w:rPr>
          <w:rFonts w:ascii="Times New Roman" w:eastAsia="Times New Roman" w:hAnsi="Times New Roman" w:cs="Times New Roman"/>
          <w:color w:val="000000"/>
          <w:sz w:val="24"/>
          <w:szCs w:val="24"/>
          <w:highlight w:val="white"/>
        </w:rPr>
      </w:pPr>
    </w:p>
    <w:p w:rsidR="00E944C2" w:rsidRDefault="00F7666C" w:rsidP="00E36C81">
      <w:pPr>
        <w:pStyle w:val="Normal1"/>
        <w:spacing w:after="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highlight w:val="white"/>
        </w:rPr>
        <w:t xml:space="preserve">Najviše su zapošljavani srednjoškolci sa IV-1 podnivoom klasifikacije obrazovanja – 510 ili 31,5%, visokoškolci sa VII-1 podnivoom kvalifikacije obrazovanja – 377 ili 23,28%, a zatim </w:t>
      </w:r>
      <w:r>
        <w:rPr>
          <w:rFonts w:ascii="Times New Roman" w:eastAsia="Times New Roman" w:hAnsi="Times New Roman" w:cs="Times New Roman"/>
          <w:color w:val="000000"/>
          <w:sz w:val="24"/>
          <w:szCs w:val="24"/>
        </w:rPr>
        <w:t>i srednjoškolci sa trećim nivoom klasifikacije obrazovanja – 207 ili 12,78%.</w:t>
      </w:r>
    </w:p>
    <w:p w:rsidR="00E944C2" w:rsidRDefault="00E944C2"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900D75" w:rsidRDefault="00900D75" w:rsidP="00E36C81">
      <w:pPr>
        <w:pStyle w:val="Normal1"/>
        <w:spacing w:after="0" w:line="240" w:lineRule="auto"/>
        <w:jc w:val="both"/>
        <w:rPr>
          <w:rFonts w:ascii="Times New Roman" w:eastAsia="Times New Roman" w:hAnsi="Times New Roman" w:cs="Times New Roman"/>
          <w:color w:val="000000"/>
          <w:sz w:val="24"/>
          <w:szCs w:val="24"/>
        </w:rPr>
      </w:pPr>
    </w:p>
    <w:p w:rsidR="00E944C2" w:rsidRDefault="00F7666C" w:rsidP="00E36C81">
      <w:pPr>
        <w:pStyle w:val="Normal1"/>
        <w:spacing w:after="0" w:line="24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Tabela broj 6. Pregled zapošljavanja sa evidencije Zavoda za zapošljavanje prema nivoima kvalifikacije obrazovanja</w:t>
      </w:r>
    </w:p>
    <w:p w:rsidR="00E944C2" w:rsidRDefault="00E944C2" w:rsidP="00316155">
      <w:pPr>
        <w:pStyle w:val="Normal1"/>
        <w:spacing w:after="0" w:line="240" w:lineRule="auto"/>
        <w:jc w:val="both"/>
        <w:rPr>
          <w:rFonts w:ascii="Arial" w:eastAsia="Arial" w:hAnsi="Arial" w:cs="Arial"/>
          <w:color w:val="000000"/>
        </w:rPr>
      </w:pPr>
    </w:p>
    <w:tbl>
      <w:tblPr>
        <w:tblStyle w:val="73"/>
        <w:tblW w:w="9359"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907"/>
        <w:gridCol w:w="925"/>
        <w:gridCol w:w="758"/>
        <w:gridCol w:w="652"/>
        <w:gridCol w:w="563"/>
        <w:gridCol w:w="652"/>
        <w:gridCol w:w="652"/>
        <w:gridCol w:w="589"/>
        <w:gridCol w:w="475"/>
        <w:gridCol w:w="563"/>
        <w:gridCol w:w="563"/>
        <w:gridCol w:w="634"/>
        <w:gridCol w:w="537"/>
        <w:gridCol w:w="889"/>
      </w:tblGrid>
      <w:tr w:rsidR="00E944C2" w:rsidRPr="00AD30E8">
        <w:trPr>
          <w:cantSplit/>
          <w:trHeight w:val="392"/>
          <w:tblHeader/>
          <w:jc w:val="center"/>
        </w:trPr>
        <w:tc>
          <w:tcPr>
            <w:tcW w:w="907" w:type="dxa"/>
            <w:vMerge w:val="restart"/>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PERIOD</w:t>
            </w:r>
          </w:p>
        </w:tc>
        <w:tc>
          <w:tcPr>
            <w:tcW w:w="925" w:type="dxa"/>
            <w:vMerge w:val="restart"/>
          </w:tcPr>
          <w:p w:rsidR="00E944C2" w:rsidRPr="00AD30E8" w:rsidRDefault="00E944C2" w:rsidP="00316155">
            <w:pPr>
              <w:pStyle w:val="Normal1"/>
              <w:jc w:val="both"/>
              <w:rPr>
                <w:rFonts w:ascii="Times New Roman" w:eastAsia="Times New Roman" w:hAnsi="Times New Roman" w:cs="Times New Roman"/>
                <w:sz w:val="16"/>
                <w:szCs w:val="16"/>
              </w:rPr>
            </w:pPr>
          </w:p>
        </w:tc>
        <w:tc>
          <w:tcPr>
            <w:tcW w:w="758" w:type="dxa"/>
            <w:vMerge w:val="restart"/>
          </w:tcPr>
          <w:p w:rsidR="00E944C2" w:rsidRPr="00AD30E8" w:rsidRDefault="00E944C2" w:rsidP="00316155">
            <w:pPr>
              <w:pStyle w:val="Normal1"/>
              <w:jc w:val="both"/>
              <w:rPr>
                <w:rFonts w:ascii="Times New Roman" w:eastAsia="Times New Roman" w:hAnsi="Times New Roman" w:cs="Times New Roman"/>
                <w:sz w:val="16"/>
                <w:szCs w:val="16"/>
              </w:rPr>
            </w:pPr>
          </w:p>
        </w:tc>
        <w:tc>
          <w:tcPr>
            <w:tcW w:w="5879" w:type="dxa"/>
            <w:gridSpan w:val="10"/>
            <w:shd w:val="clear" w:color="auto" w:fill="2E75B5"/>
          </w:tcPr>
          <w:p w:rsidR="00E944C2" w:rsidRPr="00AD30E8" w:rsidRDefault="00F7666C" w:rsidP="00316155">
            <w:pPr>
              <w:pStyle w:val="Normal1"/>
              <w:jc w:val="both"/>
              <w:rPr>
                <w:rFonts w:ascii="Times New Roman" w:eastAsia="Times New Roman" w:hAnsi="Times New Roman" w:cs="Times New Roman"/>
                <w:color w:val="FFFFFF"/>
                <w:sz w:val="16"/>
                <w:szCs w:val="16"/>
              </w:rPr>
            </w:pPr>
            <w:r w:rsidRPr="00AD30E8">
              <w:rPr>
                <w:rFonts w:ascii="Times New Roman" w:eastAsia="Times New Roman" w:hAnsi="Times New Roman" w:cs="Times New Roman"/>
                <w:color w:val="FFFFFF"/>
                <w:sz w:val="16"/>
                <w:szCs w:val="16"/>
              </w:rPr>
              <w:t>NIVO KVALIFIKACIJE OBRAZOVANJA</w:t>
            </w:r>
          </w:p>
        </w:tc>
        <w:tc>
          <w:tcPr>
            <w:tcW w:w="889" w:type="dxa"/>
            <w:vMerge w:val="restart"/>
          </w:tcPr>
          <w:p w:rsidR="00E944C2" w:rsidRPr="00AD30E8" w:rsidRDefault="00E944C2" w:rsidP="00316155">
            <w:pPr>
              <w:pStyle w:val="Normal1"/>
              <w:jc w:val="both"/>
              <w:rPr>
                <w:rFonts w:ascii="Times New Roman" w:eastAsia="Times New Roman" w:hAnsi="Times New Roman" w:cs="Times New Roman"/>
                <w:sz w:val="16"/>
                <w:szCs w:val="16"/>
              </w:rPr>
            </w:pP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r>
      <w:tr w:rsidR="00E944C2" w:rsidRPr="00AD30E8">
        <w:trPr>
          <w:cantSplit/>
          <w:trHeight w:val="145"/>
          <w:tblHeader/>
          <w:jc w:val="center"/>
        </w:trPr>
        <w:tc>
          <w:tcPr>
            <w:tcW w:w="907"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652"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I</w:t>
            </w:r>
          </w:p>
        </w:tc>
        <w:tc>
          <w:tcPr>
            <w:tcW w:w="563"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II</w:t>
            </w:r>
          </w:p>
        </w:tc>
        <w:tc>
          <w:tcPr>
            <w:tcW w:w="652"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III</w:t>
            </w:r>
          </w:p>
        </w:tc>
        <w:tc>
          <w:tcPr>
            <w:tcW w:w="652"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IV-1</w:t>
            </w:r>
          </w:p>
        </w:tc>
        <w:tc>
          <w:tcPr>
            <w:tcW w:w="589"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VI-2</w:t>
            </w:r>
          </w:p>
        </w:tc>
        <w:tc>
          <w:tcPr>
            <w:tcW w:w="475"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w:t>
            </w:r>
          </w:p>
        </w:tc>
        <w:tc>
          <w:tcPr>
            <w:tcW w:w="563"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VI</w:t>
            </w:r>
          </w:p>
        </w:tc>
        <w:tc>
          <w:tcPr>
            <w:tcW w:w="563"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VII-1</w:t>
            </w:r>
          </w:p>
        </w:tc>
        <w:tc>
          <w:tcPr>
            <w:tcW w:w="634"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VII-2</w:t>
            </w:r>
          </w:p>
        </w:tc>
        <w:tc>
          <w:tcPr>
            <w:tcW w:w="537"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VIII</w:t>
            </w:r>
          </w:p>
        </w:tc>
        <w:tc>
          <w:tcPr>
            <w:tcW w:w="889" w:type="dxa"/>
            <w:vMerge/>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r>
      <w:tr w:rsidR="00E944C2" w:rsidRPr="00AD30E8">
        <w:trPr>
          <w:cantSplit/>
          <w:trHeight w:val="618"/>
          <w:tblHeader/>
          <w:jc w:val="center"/>
        </w:trPr>
        <w:tc>
          <w:tcPr>
            <w:tcW w:w="907"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2021. godina</w:t>
            </w:r>
          </w:p>
        </w:tc>
        <w:tc>
          <w:tcPr>
            <w:tcW w:w="925"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58"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483</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561</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1968</w:t>
            </w:r>
          </w:p>
        </w:tc>
        <w:tc>
          <w:tcPr>
            <w:tcW w:w="589"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31</w:t>
            </w:r>
          </w:p>
        </w:tc>
        <w:tc>
          <w:tcPr>
            <w:tcW w:w="475"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79</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439</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1340</w:t>
            </w:r>
          </w:p>
        </w:tc>
        <w:tc>
          <w:tcPr>
            <w:tcW w:w="634"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93</w:t>
            </w:r>
          </w:p>
        </w:tc>
        <w:tc>
          <w:tcPr>
            <w:tcW w:w="537"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w:t>
            </w:r>
          </w:p>
        </w:tc>
        <w:tc>
          <w:tcPr>
            <w:tcW w:w="889"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5047</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237</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234</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1035</w:t>
            </w:r>
          </w:p>
        </w:tc>
        <w:tc>
          <w:tcPr>
            <w:tcW w:w="5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w:t>
            </w:r>
          </w:p>
        </w:tc>
        <w:tc>
          <w:tcPr>
            <w:tcW w:w="475"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52</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265</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915</w:t>
            </w:r>
          </w:p>
        </w:tc>
        <w:tc>
          <w:tcPr>
            <w:tcW w:w="634"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61</w:t>
            </w:r>
          </w:p>
        </w:tc>
        <w:tc>
          <w:tcPr>
            <w:tcW w:w="537"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w:t>
            </w:r>
          </w:p>
        </w:tc>
        <w:tc>
          <w:tcPr>
            <w:tcW w:w="8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2839</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58"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2118</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242</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2666</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6794</w:t>
            </w:r>
          </w:p>
        </w:tc>
        <w:tc>
          <w:tcPr>
            <w:tcW w:w="5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77</w:t>
            </w:r>
          </w:p>
        </w:tc>
        <w:tc>
          <w:tcPr>
            <w:tcW w:w="475"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287</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1404</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4075</w:t>
            </w:r>
          </w:p>
        </w:tc>
        <w:tc>
          <w:tcPr>
            <w:tcW w:w="634"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285</w:t>
            </w:r>
          </w:p>
        </w:tc>
        <w:tc>
          <w:tcPr>
            <w:tcW w:w="537"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w:t>
            </w:r>
          </w:p>
        </w:tc>
        <w:tc>
          <w:tcPr>
            <w:tcW w:w="8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17961</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1147</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177</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1194</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3762</w:t>
            </w:r>
          </w:p>
        </w:tc>
        <w:tc>
          <w:tcPr>
            <w:tcW w:w="589"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w:t>
            </w:r>
          </w:p>
        </w:tc>
        <w:tc>
          <w:tcPr>
            <w:tcW w:w="475"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171</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839</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2823</w:t>
            </w:r>
          </w:p>
        </w:tc>
        <w:tc>
          <w:tcPr>
            <w:tcW w:w="634"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185</w:t>
            </w:r>
          </w:p>
        </w:tc>
        <w:tc>
          <w:tcPr>
            <w:tcW w:w="537"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w:t>
            </w:r>
          </w:p>
        </w:tc>
        <w:tc>
          <w:tcPr>
            <w:tcW w:w="889"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10317</w:t>
            </w:r>
          </w:p>
        </w:tc>
      </w:tr>
      <w:tr w:rsidR="00E944C2" w:rsidRPr="00AD30E8">
        <w:trPr>
          <w:cantSplit/>
          <w:trHeight w:val="618"/>
          <w:tblHeader/>
          <w:jc w:val="center"/>
        </w:trPr>
        <w:tc>
          <w:tcPr>
            <w:tcW w:w="907"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2022. godina</w:t>
            </w:r>
          </w:p>
        </w:tc>
        <w:tc>
          <w:tcPr>
            <w:tcW w:w="925"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58" w:type="dxa"/>
            <w:tcBorders>
              <w:top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428</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56</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590</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1670</w:t>
            </w:r>
          </w:p>
        </w:tc>
        <w:tc>
          <w:tcPr>
            <w:tcW w:w="589"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w:t>
            </w:r>
          </w:p>
        </w:tc>
        <w:tc>
          <w:tcPr>
            <w:tcW w:w="475"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59</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447</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1283</w:t>
            </w:r>
          </w:p>
        </w:tc>
        <w:tc>
          <w:tcPr>
            <w:tcW w:w="634"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101</w:t>
            </w:r>
          </w:p>
        </w:tc>
        <w:tc>
          <w:tcPr>
            <w:tcW w:w="537"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w:t>
            </w:r>
          </w:p>
        </w:tc>
        <w:tc>
          <w:tcPr>
            <w:tcW w:w="889"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4660</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231</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43</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272</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893</w:t>
            </w:r>
          </w:p>
        </w:tc>
        <w:tc>
          <w:tcPr>
            <w:tcW w:w="5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w:t>
            </w:r>
          </w:p>
        </w:tc>
        <w:tc>
          <w:tcPr>
            <w:tcW w:w="475"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41</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293</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939</w:t>
            </w:r>
          </w:p>
        </w:tc>
        <w:tc>
          <w:tcPr>
            <w:tcW w:w="634"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60</w:t>
            </w:r>
          </w:p>
        </w:tc>
        <w:tc>
          <w:tcPr>
            <w:tcW w:w="537"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w:t>
            </w:r>
          </w:p>
        </w:tc>
        <w:tc>
          <w:tcPr>
            <w:tcW w:w="8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2781</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restart"/>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58"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1899</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220</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2660</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6015</w:t>
            </w:r>
          </w:p>
        </w:tc>
        <w:tc>
          <w:tcPr>
            <w:tcW w:w="5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w:t>
            </w:r>
          </w:p>
        </w:tc>
        <w:tc>
          <w:tcPr>
            <w:tcW w:w="475"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226</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1342</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3913</w:t>
            </w:r>
          </w:p>
        </w:tc>
        <w:tc>
          <w:tcPr>
            <w:tcW w:w="634"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307</w:t>
            </w:r>
          </w:p>
        </w:tc>
        <w:tc>
          <w:tcPr>
            <w:tcW w:w="537"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w:t>
            </w:r>
          </w:p>
        </w:tc>
        <w:tc>
          <w:tcPr>
            <w:tcW w:w="8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16649</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Borders>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1019</w:t>
            </w:r>
          </w:p>
        </w:tc>
        <w:tc>
          <w:tcPr>
            <w:tcW w:w="563"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149</w:t>
            </w:r>
          </w:p>
        </w:tc>
        <w:tc>
          <w:tcPr>
            <w:tcW w:w="652"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1136</w:t>
            </w:r>
          </w:p>
        </w:tc>
        <w:tc>
          <w:tcPr>
            <w:tcW w:w="652"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3213</w:t>
            </w:r>
          </w:p>
        </w:tc>
        <w:tc>
          <w:tcPr>
            <w:tcW w:w="589"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w:t>
            </w:r>
          </w:p>
        </w:tc>
        <w:tc>
          <w:tcPr>
            <w:tcW w:w="475"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130</w:t>
            </w:r>
          </w:p>
        </w:tc>
        <w:tc>
          <w:tcPr>
            <w:tcW w:w="563"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859</w:t>
            </w:r>
          </w:p>
        </w:tc>
        <w:tc>
          <w:tcPr>
            <w:tcW w:w="563"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2774</w:t>
            </w:r>
          </w:p>
        </w:tc>
        <w:tc>
          <w:tcPr>
            <w:tcW w:w="634"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197</w:t>
            </w:r>
          </w:p>
        </w:tc>
        <w:tc>
          <w:tcPr>
            <w:tcW w:w="537"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w:t>
            </w:r>
          </w:p>
        </w:tc>
        <w:tc>
          <w:tcPr>
            <w:tcW w:w="889" w:type="dxa"/>
            <w:tcBorders>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9496</w:t>
            </w:r>
          </w:p>
        </w:tc>
      </w:tr>
      <w:tr w:rsidR="00E944C2" w:rsidRPr="00AD30E8">
        <w:trPr>
          <w:cantSplit/>
          <w:trHeight w:val="618"/>
          <w:tblHeader/>
          <w:jc w:val="center"/>
        </w:trPr>
        <w:tc>
          <w:tcPr>
            <w:tcW w:w="907"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2023. godina</w:t>
            </w:r>
          </w:p>
        </w:tc>
        <w:tc>
          <w:tcPr>
            <w:tcW w:w="925" w:type="dxa"/>
            <w:vMerge w:val="restart"/>
            <w:tcBorders>
              <w:top w:val="single" w:sz="8"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58" w:type="dxa"/>
            <w:tcBorders>
              <w:top w:val="single" w:sz="8"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485</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534</w:t>
            </w:r>
          </w:p>
        </w:tc>
        <w:tc>
          <w:tcPr>
            <w:tcW w:w="652"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1428</w:t>
            </w:r>
          </w:p>
        </w:tc>
        <w:tc>
          <w:tcPr>
            <w:tcW w:w="589"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w:t>
            </w:r>
          </w:p>
        </w:tc>
        <w:tc>
          <w:tcPr>
            <w:tcW w:w="475"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72</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420</w:t>
            </w:r>
          </w:p>
        </w:tc>
        <w:tc>
          <w:tcPr>
            <w:tcW w:w="563"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1107</w:t>
            </w:r>
          </w:p>
        </w:tc>
        <w:tc>
          <w:tcPr>
            <w:tcW w:w="634"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112</w:t>
            </w:r>
          </w:p>
        </w:tc>
        <w:tc>
          <w:tcPr>
            <w:tcW w:w="537"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w:t>
            </w:r>
          </w:p>
        </w:tc>
        <w:tc>
          <w:tcPr>
            <w:tcW w:w="889" w:type="dxa"/>
            <w:tcBorders>
              <w:top w:val="single" w:sz="8"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4222</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269</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252</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804</w:t>
            </w:r>
          </w:p>
        </w:tc>
        <w:tc>
          <w:tcPr>
            <w:tcW w:w="5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w:t>
            </w:r>
          </w:p>
        </w:tc>
        <w:tc>
          <w:tcPr>
            <w:tcW w:w="475"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286</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778</w:t>
            </w:r>
          </w:p>
        </w:tc>
        <w:tc>
          <w:tcPr>
            <w:tcW w:w="634"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77</w:t>
            </w:r>
          </w:p>
        </w:tc>
        <w:tc>
          <w:tcPr>
            <w:tcW w:w="537"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w:t>
            </w:r>
          </w:p>
        </w:tc>
        <w:tc>
          <w:tcPr>
            <w:tcW w:w="8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2552</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restart"/>
            <w:tcBorders>
              <w:top w:val="single" w:sz="6" w:space="0" w:color="000000"/>
              <w:bottom w:val="single" w:sz="6"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58" w:type="dxa"/>
            <w:tcBorders>
              <w:top w:val="single" w:sz="6" w:space="0" w:color="000000"/>
              <w:bottom w:val="single" w:sz="6"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2060</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227</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2845</w:t>
            </w:r>
          </w:p>
        </w:tc>
        <w:tc>
          <w:tcPr>
            <w:tcW w:w="652"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5830</w:t>
            </w:r>
          </w:p>
        </w:tc>
        <w:tc>
          <w:tcPr>
            <w:tcW w:w="5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39</w:t>
            </w:r>
          </w:p>
        </w:tc>
        <w:tc>
          <w:tcPr>
            <w:tcW w:w="475"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246</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1314</w:t>
            </w:r>
          </w:p>
        </w:tc>
        <w:tc>
          <w:tcPr>
            <w:tcW w:w="563"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3645</w:t>
            </w:r>
          </w:p>
        </w:tc>
        <w:tc>
          <w:tcPr>
            <w:tcW w:w="634"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348</w:t>
            </w:r>
          </w:p>
        </w:tc>
        <w:tc>
          <w:tcPr>
            <w:tcW w:w="537"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w:t>
            </w:r>
          </w:p>
        </w:tc>
        <w:tc>
          <w:tcPr>
            <w:tcW w:w="889" w:type="dxa"/>
            <w:tcBorders>
              <w:top w:val="single" w:sz="6" w:space="0" w:color="000000"/>
              <w:bottom w:val="single" w:sz="6"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16560</w:t>
            </w:r>
          </w:p>
        </w:tc>
      </w:tr>
      <w:tr w:rsidR="00E944C2" w:rsidRPr="00AD30E8">
        <w:trPr>
          <w:cantSplit/>
          <w:trHeight w:val="145"/>
          <w:tblHeader/>
          <w:jc w:val="center"/>
        </w:trPr>
        <w:tc>
          <w:tcPr>
            <w:tcW w:w="907" w:type="dxa"/>
            <w:vMerge/>
            <w:tcBorders>
              <w:top w:val="single" w:sz="8"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6" w:space="0" w:color="000000"/>
              <w:bottom w:val="single" w:sz="6"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Borders>
              <w:top w:val="single" w:sz="6" w:space="0" w:color="000000"/>
              <w:bottom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1125</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139</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1196</w:t>
            </w:r>
          </w:p>
        </w:tc>
        <w:tc>
          <w:tcPr>
            <w:tcW w:w="652"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3237</w:t>
            </w:r>
          </w:p>
        </w:tc>
        <w:tc>
          <w:tcPr>
            <w:tcW w:w="589"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w:t>
            </w:r>
          </w:p>
        </w:tc>
        <w:tc>
          <w:tcPr>
            <w:tcW w:w="475"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145</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838</w:t>
            </w:r>
          </w:p>
        </w:tc>
        <w:tc>
          <w:tcPr>
            <w:tcW w:w="563"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2582</w:t>
            </w:r>
          </w:p>
        </w:tc>
        <w:tc>
          <w:tcPr>
            <w:tcW w:w="634"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236</w:t>
            </w:r>
          </w:p>
        </w:tc>
        <w:tc>
          <w:tcPr>
            <w:tcW w:w="537"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w:t>
            </w:r>
          </w:p>
        </w:tc>
        <w:tc>
          <w:tcPr>
            <w:tcW w:w="889" w:type="dxa"/>
            <w:tcBorders>
              <w:top w:val="single" w:sz="6" w:space="0" w:color="000000"/>
              <w:bottom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9506</w:t>
            </w:r>
          </w:p>
        </w:tc>
      </w:tr>
      <w:tr w:rsidR="00E944C2" w:rsidRPr="00AD30E8">
        <w:trPr>
          <w:cantSplit/>
          <w:trHeight w:val="634"/>
          <w:tblHeader/>
          <w:jc w:val="center"/>
        </w:trPr>
        <w:tc>
          <w:tcPr>
            <w:tcW w:w="907"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1.1-30.6.</w:t>
            </w:r>
          </w:p>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2024.</w:t>
            </w:r>
          </w:p>
        </w:tc>
        <w:tc>
          <w:tcPr>
            <w:tcW w:w="925" w:type="dxa"/>
            <w:vMerge w:val="restart"/>
            <w:tcBorders>
              <w:top w:val="single" w:sz="8" w:space="0" w:color="000000"/>
            </w:tcBorders>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Podgorica</w:t>
            </w:r>
          </w:p>
        </w:tc>
        <w:tc>
          <w:tcPr>
            <w:tcW w:w="758" w:type="dxa"/>
            <w:tcBorders>
              <w:top w:val="single" w:sz="8" w:space="0" w:color="000000"/>
            </w:tcBorders>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196</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21</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207</w:t>
            </w:r>
          </w:p>
        </w:tc>
        <w:tc>
          <w:tcPr>
            <w:tcW w:w="652"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510</w:t>
            </w:r>
          </w:p>
        </w:tc>
        <w:tc>
          <w:tcPr>
            <w:tcW w:w="589"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w:t>
            </w:r>
          </w:p>
        </w:tc>
        <w:tc>
          <w:tcPr>
            <w:tcW w:w="475"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32</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199</w:t>
            </w:r>
          </w:p>
        </w:tc>
        <w:tc>
          <w:tcPr>
            <w:tcW w:w="563"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377</w:t>
            </w:r>
          </w:p>
        </w:tc>
        <w:tc>
          <w:tcPr>
            <w:tcW w:w="634"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68</w:t>
            </w:r>
          </w:p>
        </w:tc>
        <w:tc>
          <w:tcPr>
            <w:tcW w:w="537"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w:t>
            </w:r>
          </w:p>
        </w:tc>
        <w:tc>
          <w:tcPr>
            <w:tcW w:w="889" w:type="dxa"/>
            <w:tcBorders>
              <w:top w:val="single" w:sz="8" w:space="0" w:color="000000"/>
            </w:tcBorders>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1619</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104</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97</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303</w:t>
            </w:r>
          </w:p>
        </w:tc>
        <w:tc>
          <w:tcPr>
            <w:tcW w:w="5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w:t>
            </w:r>
          </w:p>
        </w:tc>
        <w:tc>
          <w:tcPr>
            <w:tcW w:w="475"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25</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136</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260</w:t>
            </w:r>
          </w:p>
        </w:tc>
        <w:tc>
          <w:tcPr>
            <w:tcW w:w="634"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w:t>
            </w:r>
          </w:p>
        </w:tc>
        <w:tc>
          <w:tcPr>
            <w:tcW w:w="537"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w:t>
            </w:r>
          </w:p>
        </w:tc>
        <w:tc>
          <w:tcPr>
            <w:tcW w:w="8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988</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restart"/>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Crna Gora</w:t>
            </w:r>
          </w:p>
        </w:tc>
        <w:tc>
          <w:tcPr>
            <w:tcW w:w="758"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Ukupno</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891</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75</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1141</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2276</w:t>
            </w:r>
          </w:p>
        </w:tc>
        <w:tc>
          <w:tcPr>
            <w:tcW w:w="5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20</w:t>
            </w:r>
          </w:p>
        </w:tc>
        <w:tc>
          <w:tcPr>
            <w:tcW w:w="475"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100</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539</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1291</w:t>
            </w:r>
          </w:p>
        </w:tc>
        <w:tc>
          <w:tcPr>
            <w:tcW w:w="634"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186</w:t>
            </w:r>
          </w:p>
        </w:tc>
        <w:tc>
          <w:tcPr>
            <w:tcW w:w="537"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7</w:t>
            </w:r>
          </w:p>
        </w:tc>
        <w:tc>
          <w:tcPr>
            <w:tcW w:w="8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6526</w:t>
            </w:r>
          </w:p>
        </w:tc>
      </w:tr>
      <w:tr w:rsidR="00E944C2" w:rsidRPr="00AD30E8">
        <w:trPr>
          <w:cantSplit/>
          <w:trHeight w:val="145"/>
          <w:tblHeader/>
          <w:jc w:val="center"/>
        </w:trPr>
        <w:tc>
          <w:tcPr>
            <w:tcW w:w="907" w:type="dxa"/>
            <w:vMerge/>
            <w:tcBorders>
              <w:top w:val="single" w:sz="8" w:space="0" w:color="000000"/>
            </w:tcBorders>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925" w:type="dxa"/>
            <w:vMerge/>
            <w:vAlign w:val="center"/>
          </w:tcPr>
          <w:p w:rsidR="00E944C2" w:rsidRPr="00AD30E8" w:rsidRDefault="00E944C2" w:rsidP="00316155">
            <w:pPr>
              <w:pStyle w:val="Normal1"/>
              <w:widowControl w:val="0"/>
              <w:spacing w:after="0" w:line="276" w:lineRule="auto"/>
              <w:jc w:val="both"/>
              <w:rPr>
                <w:rFonts w:ascii="Times New Roman" w:eastAsia="Times New Roman" w:hAnsi="Times New Roman" w:cs="Times New Roman"/>
                <w:sz w:val="16"/>
                <w:szCs w:val="16"/>
              </w:rPr>
            </w:pPr>
          </w:p>
        </w:tc>
        <w:tc>
          <w:tcPr>
            <w:tcW w:w="758" w:type="dxa"/>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Žene</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486</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47</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505</w:t>
            </w:r>
          </w:p>
        </w:tc>
        <w:tc>
          <w:tcPr>
            <w:tcW w:w="652"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1279</w:t>
            </w:r>
          </w:p>
        </w:tc>
        <w:tc>
          <w:tcPr>
            <w:tcW w:w="5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w:t>
            </w:r>
          </w:p>
        </w:tc>
        <w:tc>
          <w:tcPr>
            <w:tcW w:w="475"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69</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356</w:t>
            </w:r>
          </w:p>
        </w:tc>
        <w:tc>
          <w:tcPr>
            <w:tcW w:w="563"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912</w:t>
            </w:r>
          </w:p>
        </w:tc>
        <w:tc>
          <w:tcPr>
            <w:tcW w:w="634"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140</w:t>
            </w:r>
          </w:p>
        </w:tc>
        <w:tc>
          <w:tcPr>
            <w:tcW w:w="537"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2</w:t>
            </w:r>
          </w:p>
        </w:tc>
        <w:tc>
          <w:tcPr>
            <w:tcW w:w="889" w:type="dxa"/>
            <w:shd w:val="clear" w:color="auto" w:fill="auto"/>
            <w:vAlign w:val="center"/>
          </w:tcPr>
          <w:p w:rsidR="00E944C2" w:rsidRPr="00AD30E8" w:rsidRDefault="00F7666C" w:rsidP="00316155">
            <w:pPr>
              <w:pStyle w:val="Normal1"/>
              <w:jc w:val="both"/>
              <w:rPr>
                <w:rFonts w:ascii="Times New Roman" w:eastAsia="Times New Roman" w:hAnsi="Times New Roman" w:cs="Times New Roman"/>
                <w:sz w:val="16"/>
                <w:szCs w:val="16"/>
              </w:rPr>
            </w:pPr>
            <w:r w:rsidRPr="00AD30E8">
              <w:rPr>
                <w:rFonts w:ascii="Times New Roman" w:eastAsia="Times New Roman" w:hAnsi="Times New Roman" w:cs="Times New Roman"/>
                <w:sz w:val="16"/>
                <w:szCs w:val="16"/>
              </w:rPr>
              <w:t>3802</w:t>
            </w:r>
          </w:p>
        </w:tc>
      </w:tr>
    </w:tbl>
    <w:p w:rsidR="00E944C2" w:rsidRDefault="00F7666C" w:rsidP="00316155">
      <w:pPr>
        <w:pStyle w:val="Normal1"/>
        <w:jc w:val="both"/>
        <w:rPr>
          <w:rFonts w:ascii="Times New Roman" w:eastAsia="Times New Roman" w:hAnsi="Times New Roman" w:cs="Times New Roman"/>
          <w:i/>
        </w:rPr>
      </w:pPr>
      <w:r>
        <w:rPr>
          <w:rFonts w:ascii="Times New Roman" w:eastAsia="Times New Roman" w:hAnsi="Times New Roman" w:cs="Times New Roman"/>
          <w:i/>
          <w:sz w:val="20"/>
          <w:szCs w:val="20"/>
        </w:rPr>
        <w:t>Izvor: Zavod za zapošljavanje Crne Gore</w:t>
      </w:r>
    </w:p>
    <w:p w:rsidR="00E944C2" w:rsidRDefault="00E944C2" w:rsidP="00316155">
      <w:pPr>
        <w:pStyle w:val="Normal1"/>
        <w:jc w:val="both"/>
      </w:pPr>
    </w:p>
    <w:p w:rsidR="00E944C2" w:rsidRDefault="00F7666C" w:rsidP="00316155">
      <w:pPr>
        <w:pStyle w:val="Normal1"/>
        <w:spacing w:line="245"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Nominalno posmatrano zapošljavanje posredstvom Zavoda za zapošljavanje je u 2023. godini bilo na približno istom nivou kao i 2022. godine (na nivou Podgorica 4.660:4.222, a na nivou Crne Gore 16.649:16.560). Ako posmatramo učešće zaposlenih posredstvom Zavoda u 2023. godini kao broj zaposlenih u odnosu na ukupnu ponudu tokom 2023. godine (ukupna ponuda predstavlja broj nezaposlenih na početku perioda – 1.1.2023. godine i broj novoprijavljenih tokom perioda – tokom 2023. godine), učešće zaposlenih je u 2023. godini iznosilo 29,97%, a na nivou Crne Gore 24,12% (ukupna ponuda u 2023. godini je iznosila 14.087 lica – na dan 1.1.2023. godine registrovano je 8.311, a tokom 2023. godine je bilo 5.776 novoprijavljenih lica). Učešće zaposlenih u ukupnoj ponudi radne snage u 2022. godni je iznosilo 25,16%, a na nivou Crne Gore 19,44% (ukupna ponuda u 2022. godini je iznosila 18.519 lica – na dan 1.1.2022. godine registrovano je 11.152 lica, a tokom 2022. godine je bilo 7.367 novoprijavljenih lica).</w:t>
      </w:r>
    </w:p>
    <w:p w:rsidR="00E944C2" w:rsidRDefault="00F7666C" w:rsidP="00316155">
      <w:pPr>
        <w:pStyle w:val="Normal1"/>
        <w:spacing w:after="0" w:line="245"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Tabela bro</w:t>
      </w:r>
      <w:r>
        <w:rPr>
          <w:rFonts w:ascii="Times New Roman" w:eastAsia="Times New Roman" w:hAnsi="Times New Roman" w:cs="Times New Roman"/>
          <w:sz w:val="24"/>
          <w:szCs w:val="24"/>
        </w:rPr>
        <w:t>j 7</w:t>
      </w:r>
      <w:r>
        <w:rPr>
          <w:rFonts w:ascii="Times New Roman" w:eastAsia="Times New Roman" w:hAnsi="Times New Roman" w:cs="Times New Roman"/>
          <w:color w:val="000000"/>
          <w:sz w:val="24"/>
          <w:szCs w:val="24"/>
        </w:rPr>
        <w:t>. Pregled procenta zaposlenih posredstvom Zavoda za zapošljavanje u odnosu na ukupnu ponudu radne snage u određenom periodu</w:t>
      </w:r>
    </w:p>
    <w:p w:rsidR="00E944C2" w:rsidRDefault="00E944C2" w:rsidP="00316155">
      <w:pPr>
        <w:pStyle w:val="Normal1"/>
        <w:spacing w:after="0" w:line="240" w:lineRule="auto"/>
        <w:jc w:val="both"/>
        <w:rPr>
          <w:rFonts w:ascii="Arial" w:eastAsia="Arial" w:hAnsi="Arial" w:cs="Arial"/>
          <w:color w:val="000000"/>
        </w:rPr>
      </w:pPr>
    </w:p>
    <w:tbl>
      <w:tblPr>
        <w:tblStyle w:val="72"/>
        <w:tblW w:w="9193" w:type="dxa"/>
        <w:jc w:val="center"/>
        <w:tblInd w:w="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1437"/>
        <w:gridCol w:w="955"/>
        <w:gridCol w:w="782"/>
        <w:gridCol w:w="1353"/>
        <w:gridCol w:w="1371"/>
        <w:gridCol w:w="915"/>
        <w:gridCol w:w="1243"/>
        <w:gridCol w:w="1137"/>
      </w:tblGrid>
      <w:tr w:rsidR="00E944C2">
        <w:trPr>
          <w:cantSplit/>
          <w:tblHeader/>
          <w:jc w:val="center"/>
        </w:trPr>
        <w:tc>
          <w:tcPr>
            <w:tcW w:w="1437"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PERIOD</w:t>
            </w:r>
          </w:p>
        </w:tc>
        <w:tc>
          <w:tcPr>
            <w:tcW w:w="955" w:type="dxa"/>
            <w:tcBorders>
              <w:bottom w:val="single" w:sz="8" w:space="0" w:color="000000"/>
            </w:tcBorders>
          </w:tcPr>
          <w:p w:rsidR="00E944C2" w:rsidRDefault="00E944C2" w:rsidP="00316155">
            <w:pPr>
              <w:pStyle w:val="Normal1"/>
              <w:jc w:val="both"/>
              <w:rPr>
                <w:rFonts w:ascii="Times New Roman" w:eastAsia="Times New Roman" w:hAnsi="Times New Roman" w:cs="Times New Roman"/>
                <w:sz w:val="18"/>
                <w:szCs w:val="18"/>
              </w:rPr>
            </w:pPr>
          </w:p>
        </w:tc>
        <w:tc>
          <w:tcPr>
            <w:tcW w:w="782" w:type="dxa"/>
            <w:tcBorders>
              <w:bottom w:val="single" w:sz="8" w:space="0" w:color="000000"/>
            </w:tcBorders>
          </w:tcPr>
          <w:p w:rsidR="00E944C2" w:rsidRDefault="00E944C2" w:rsidP="00316155">
            <w:pPr>
              <w:pStyle w:val="Normal1"/>
              <w:jc w:val="both"/>
              <w:rPr>
                <w:rFonts w:ascii="Times New Roman" w:eastAsia="Times New Roman" w:hAnsi="Times New Roman" w:cs="Times New Roman"/>
                <w:sz w:val="18"/>
                <w:szCs w:val="18"/>
              </w:rPr>
            </w:pPr>
          </w:p>
        </w:tc>
        <w:tc>
          <w:tcPr>
            <w:tcW w:w="1353"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Nl na početku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perioda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 januar)</w:t>
            </w:r>
          </w:p>
        </w:tc>
        <w:tc>
          <w:tcPr>
            <w:tcW w:w="1371"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Novoprijavljeni</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u periodu</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(1.1-31.12.)</w:t>
            </w:r>
          </w:p>
        </w:tc>
        <w:tc>
          <w:tcPr>
            <w:tcW w:w="915"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Ukupna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ponuda</w:t>
            </w:r>
          </w:p>
        </w:tc>
        <w:tc>
          <w:tcPr>
            <w:tcW w:w="1243"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Zaposleni</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posredstvom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Zavoda</w:t>
            </w:r>
          </w:p>
        </w:tc>
        <w:tc>
          <w:tcPr>
            <w:tcW w:w="1137"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 </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 xml:space="preserve">zaposlenih </w:t>
            </w:r>
          </w:p>
        </w:tc>
      </w:tr>
      <w:tr w:rsidR="00E944C2">
        <w:trPr>
          <w:cantSplit/>
          <w:tblHeader/>
          <w:jc w:val="center"/>
        </w:trPr>
        <w:tc>
          <w:tcPr>
            <w:tcW w:w="1437"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2021. godina</w:t>
            </w:r>
          </w:p>
        </w:tc>
        <w:tc>
          <w:tcPr>
            <w:tcW w:w="955"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82"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9034</w:t>
            </w:r>
          </w:p>
        </w:tc>
        <w:tc>
          <w:tcPr>
            <w:tcW w:w="1371" w:type="dxa"/>
            <w:tcBorders>
              <w:top w:val="single" w:sz="8"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10464</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19498</w:t>
            </w:r>
          </w:p>
        </w:tc>
        <w:tc>
          <w:tcPr>
            <w:tcW w:w="1243"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5047</w:t>
            </w:r>
          </w:p>
        </w:tc>
        <w:tc>
          <w:tcPr>
            <w:tcW w:w="1137"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25.88</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5490</w:t>
            </w:r>
          </w:p>
        </w:tc>
        <w:tc>
          <w:tcPr>
            <w:tcW w:w="137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6080</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11570</w:t>
            </w:r>
          </w:p>
        </w:tc>
        <w:tc>
          <w:tcPr>
            <w:tcW w:w="124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2839</w:t>
            </w:r>
          </w:p>
        </w:tc>
        <w:tc>
          <w:tcPr>
            <w:tcW w:w="113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24.54</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782"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47509</w:t>
            </w:r>
          </w:p>
        </w:tc>
        <w:tc>
          <w:tcPr>
            <w:tcW w:w="1371" w:type="dxa"/>
            <w:tcBorders>
              <w:top w:val="single" w:sz="6" w:space="0" w:color="000000"/>
              <w:bottom w:val="single" w:sz="6"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42415</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89924</w:t>
            </w:r>
          </w:p>
        </w:tc>
        <w:tc>
          <w:tcPr>
            <w:tcW w:w="124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17961</w:t>
            </w:r>
          </w:p>
        </w:tc>
        <w:tc>
          <w:tcPr>
            <w:tcW w:w="113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19.97</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27944</w:t>
            </w:r>
          </w:p>
        </w:tc>
        <w:tc>
          <w:tcPr>
            <w:tcW w:w="137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24362</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52306</w:t>
            </w:r>
          </w:p>
        </w:tc>
        <w:tc>
          <w:tcPr>
            <w:tcW w:w="1243"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10317</w:t>
            </w:r>
          </w:p>
        </w:tc>
        <w:tc>
          <w:tcPr>
            <w:tcW w:w="113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19.72</w:t>
            </w:r>
          </w:p>
        </w:tc>
      </w:tr>
      <w:tr w:rsidR="00E944C2">
        <w:trPr>
          <w:cantSplit/>
          <w:tblHeader/>
          <w:jc w:val="center"/>
        </w:trPr>
        <w:tc>
          <w:tcPr>
            <w:tcW w:w="1437"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2022. godina</w:t>
            </w:r>
          </w:p>
        </w:tc>
        <w:tc>
          <w:tcPr>
            <w:tcW w:w="955"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82" w:type="dxa"/>
            <w:tcBorders>
              <w:top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11152</w:t>
            </w:r>
          </w:p>
        </w:tc>
        <w:tc>
          <w:tcPr>
            <w:tcW w:w="1371" w:type="dxa"/>
            <w:tcBorders>
              <w:top w:val="single" w:sz="8" w:space="0" w:color="000000"/>
            </w:tcBorders>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7367</w:t>
            </w:r>
          </w:p>
        </w:tc>
        <w:tc>
          <w:tcPr>
            <w:tcW w:w="915"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18519</w:t>
            </w:r>
          </w:p>
        </w:tc>
        <w:tc>
          <w:tcPr>
            <w:tcW w:w="1243"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4660</w:t>
            </w:r>
          </w:p>
        </w:tc>
        <w:tc>
          <w:tcPr>
            <w:tcW w:w="1137"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25.16</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7011</w:t>
            </w:r>
          </w:p>
        </w:tc>
        <w:tc>
          <w:tcPr>
            <w:tcW w:w="137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4346</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11357</w:t>
            </w:r>
          </w:p>
        </w:tc>
        <w:tc>
          <w:tcPr>
            <w:tcW w:w="124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2781</w:t>
            </w:r>
          </w:p>
        </w:tc>
        <w:tc>
          <w:tcPr>
            <w:tcW w:w="113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24.49</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782"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57386</w:t>
            </w:r>
          </w:p>
        </w:tc>
        <w:tc>
          <w:tcPr>
            <w:tcW w:w="1371"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28234</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85620</w:t>
            </w:r>
          </w:p>
        </w:tc>
        <w:tc>
          <w:tcPr>
            <w:tcW w:w="124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16649</w:t>
            </w:r>
          </w:p>
        </w:tc>
        <w:tc>
          <w:tcPr>
            <w:tcW w:w="113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19.45</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Borders>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34522</w:t>
            </w:r>
          </w:p>
        </w:tc>
        <w:tc>
          <w:tcPr>
            <w:tcW w:w="1371"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16026</w:t>
            </w:r>
          </w:p>
        </w:tc>
        <w:tc>
          <w:tcPr>
            <w:tcW w:w="915"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50548</w:t>
            </w:r>
          </w:p>
        </w:tc>
        <w:tc>
          <w:tcPr>
            <w:tcW w:w="1243"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9496</w:t>
            </w:r>
          </w:p>
        </w:tc>
        <w:tc>
          <w:tcPr>
            <w:tcW w:w="1137" w:type="dxa"/>
            <w:tcBorders>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18.79</w:t>
            </w:r>
          </w:p>
        </w:tc>
      </w:tr>
      <w:tr w:rsidR="00E944C2">
        <w:trPr>
          <w:cantSplit/>
          <w:tblHeader/>
          <w:jc w:val="center"/>
        </w:trPr>
        <w:tc>
          <w:tcPr>
            <w:tcW w:w="1437"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 godina</w:t>
            </w:r>
          </w:p>
        </w:tc>
        <w:tc>
          <w:tcPr>
            <w:tcW w:w="955" w:type="dxa"/>
            <w:vMerge w:val="restart"/>
            <w:tcBorders>
              <w:top w:val="single" w:sz="8"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82" w:type="dxa"/>
            <w:tcBorders>
              <w:top w:val="single" w:sz="8"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8311</w:t>
            </w:r>
          </w:p>
        </w:tc>
        <w:tc>
          <w:tcPr>
            <w:tcW w:w="1371" w:type="dxa"/>
            <w:tcBorders>
              <w:top w:val="single" w:sz="8"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5776</w:t>
            </w:r>
          </w:p>
        </w:tc>
        <w:tc>
          <w:tcPr>
            <w:tcW w:w="915"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14087</w:t>
            </w:r>
          </w:p>
        </w:tc>
        <w:tc>
          <w:tcPr>
            <w:tcW w:w="1243"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4222</w:t>
            </w:r>
          </w:p>
        </w:tc>
        <w:tc>
          <w:tcPr>
            <w:tcW w:w="1137" w:type="dxa"/>
            <w:tcBorders>
              <w:top w:val="single" w:sz="8"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29.97</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5185</w:t>
            </w:r>
          </w:p>
        </w:tc>
        <w:tc>
          <w:tcPr>
            <w:tcW w:w="1371"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3559</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8744</w:t>
            </w:r>
          </w:p>
        </w:tc>
        <w:tc>
          <w:tcPr>
            <w:tcW w:w="124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2552</w:t>
            </w:r>
          </w:p>
        </w:tc>
        <w:tc>
          <w:tcPr>
            <w:tcW w:w="113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29.19</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restart"/>
            <w:tcBorders>
              <w:top w:val="single" w:sz="6" w:space="0" w:color="000000"/>
              <w:bottom w:val="single" w:sz="6"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782" w:type="dxa"/>
            <w:tcBorders>
              <w:top w:val="single" w:sz="6" w:space="0" w:color="000000"/>
              <w:bottom w:val="single" w:sz="6"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46596</w:t>
            </w:r>
          </w:p>
        </w:tc>
        <w:tc>
          <w:tcPr>
            <w:tcW w:w="1371" w:type="dxa"/>
            <w:tcBorders>
              <w:top w:val="single" w:sz="6" w:space="0" w:color="000000"/>
              <w:bottom w:val="single" w:sz="6" w:space="0" w:color="000000"/>
            </w:tcBorders>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22056</w:t>
            </w:r>
          </w:p>
        </w:tc>
        <w:tc>
          <w:tcPr>
            <w:tcW w:w="915"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68652</w:t>
            </w:r>
          </w:p>
        </w:tc>
        <w:tc>
          <w:tcPr>
            <w:tcW w:w="1243"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16560</w:t>
            </w:r>
          </w:p>
        </w:tc>
        <w:tc>
          <w:tcPr>
            <w:tcW w:w="1137" w:type="dxa"/>
            <w:tcBorders>
              <w:top w:val="single" w:sz="6" w:space="0" w:color="000000"/>
              <w:bottom w:val="single" w:sz="6"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24.12</w:t>
            </w:r>
          </w:p>
        </w:tc>
      </w:tr>
      <w:tr w:rsidR="00E944C2">
        <w:trPr>
          <w:cantSplit/>
          <w:tblHeader/>
          <w:jc w:val="center"/>
        </w:trPr>
        <w:tc>
          <w:tcPr>
            <w:tcW w:w="1437" w:type="dxa"/>
            <w:vMerge/>
            <w:tcBorders>
              <w:top w:val="single" w:sz="8"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6" w:space="0" w:color="000000"/>
              <w:bottom w:val="single" w:sz="6"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Borders>
              <w:top w:val="single" w:sz="6" w:space="0" w:color="000000"/>
              <w:bottom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26860</w:t>
            </w:r>
          </w:p>
        </w:tc>
        <w:tc>
          <w:tcPr>
            <w:tcW w:w="1371"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12565</w:t>
            </w:r>
          </w:p>
        </w:tc>
        <w:tc>
          <w:tcPr>
            <w:tcW w:w="915"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39425</w:t>
            </w:r>
          </w:p>
        </w:tc>
        <w:tc>
          <w:tcPr>
            <w:tcW w:w="1243"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9506</w:t>
            </w:r>
          </w:p>
        </w:tc>
        <w:tc>
          <w:tcPr>
            <w:tcW w:w="1137" w:type="dxa"/>
            <w:tcBorders>
              <w:top w:val="single" w:sz="6" w:space="0" w:color="000000"/>
              <w:bottom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24.11</w:t>
            </w:r>
          </w:p>
        </w:tc>
      </w:tr>
      <w:tr w:rsidR="00E944C2">
        <w:trPr>
          <w:cantSplit/>
          <w:tblHeader/>
          <w:jc w:val="center"/>
        </w:trPr>
        <w:tc>
          <w:tcPr>
            <w:tcW w:w="1437"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1.1-30.6.</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955" w:type="dxa"/>
            <w:vMerge w:val="restart"/>
            <w:tcBorders>
              <w:top w:val="single" w:sz="8" w:space="0" w:color="000000"/>
            </w:tcBorders>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782" w:type="dxa"/>
            <w:tcBorders>
              <w:top w:val="single" w:sz="8" w:space="0" w:color="000000"/>
            </w:tcBorders>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6701</w:t>
            </w:r>
          </w:p>
        </w:tc>
        <w:tc>
          <w:tcPr>
            <w:tcW w:w="1371"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2229</w:t>
            </w:r>
          </w:p>
        </w:tc>
        <w:tc>
          <w:tcPr>
            <w:tcW w:w="915"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8930</w:t>
            </w:r>
          </w:p>
        </w:tc>
        <w:tc>
          <w:tcPr>
            <w:tcW w:w="1243"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1619</w:t>
            </w:r>
          </w:p>
        </w:tc>
        <w:tc>
          <w:tcPr>
            <w:tcW w:w="1137" w:type="dxa"/>
            <w:tcBorders>
              <w:top w:val="single" w:sz="8" w:space="0" w:color="000000"/>
            </w:tcBorders>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18.13</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4173</w:t>
            </w:r>
          </w:p>
        </w:tc>
        <w:tc>
          <w:tcPr>
            <w:tcW w:w="137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1391</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5564</w:t>
            </w:r>
          </w:p>
        </w:tc>
        <w:tc>
          <w:tcPr>
            <w:tcW w:w="124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988</w:t>
            </w:r>
          </w:p>
        </w:tc>
        <w:tc>
          <w:tcPr>
            <w:tcW w:w="113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17.76</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restart"/>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782"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w:t>
            </w:r>
          </w:p>
        </w:tc>
        <w:tc>
          <w:tcPr>
            <w:tcW w:w="135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39942</w:t>
            </w:r>
          </w:p>
        </w:tc>
        <w:tc>
          <w:tcPr>
            <w:tcW w:w="137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8570</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48512</w:t>
            </w:r>
          </w:p>
        </w:tc>
        <w:tc>
          <w:tcPr>
            <w:tcW w:w="124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6526</w:t>
            </w:r>
          </w:p>
        </w:tc>
        <w:tc>
          <w:tcPr>
            <w:tcW w:w="113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13.45</w:t>
            </w:r>
          </w:p>
        </w:tc>
      </w:tr>
      <w:tr w:rsidR="00E944C2">
        <w:trPr>
          <w:cantSplit/>
          <w:tblHeader/>
          <w:jc w:val="center"/>
        </w:trPr>
        <w:tc>
          <w:tcPr>
            <w:tcW w:w="1437" w:type="dxa"/>
            <w:vMerge/>
            <w:tcBorders>
              <w:top w:val="single" w:sz="8" w:space="0" w:color="000000"/>
            </w:tcBorders>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955" w:type="dxa"/>
            <w:vMerge/>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782"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Žene</w:t>
            </w:r>
          </w:p>
        </w:tc>
        <w:tc>
          <w:tcPr>
            <w:tcW w:w="135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23263</w:t>
            </w:r>
          </w:p>
        </w:tc>
        <w:tc>
          <w:tcPr>
            <w:tcW w:w="1371"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4932</w:t>
            </w:r>
          </w:p>
        </w:tc>
        <w:tc>
          <w:tcPr>
            <w:tcW w:w="915"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28195</w:t>
            </w:r>
          </w:p>
        </w:tc>
        <w:tc>
          <w:tcPr>
            <w:tcW w:w="1243"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3802</w:t>
            </w:r>
          </w:p>
        </w:tc>
        <w:tc>
          <w:tcPr>
            <w:tcW w:w="113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13.48</w:t>
            </w:r>
          </w:p>
        </w:tc>
      </w:tr>
    </w:tbl>
    <w:p w:rsidR="00E944C2" w:rsidRDefault="00F7666C" w:rsidP="00316155">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E944C2" w:rsidRDefault="00F7666C" w:rsidP="00316155">
      <w:pPr>
        <w:pStyle w:val="Heading3"/>
        <w:jc w:val="both"/>
      </w:pPr>
      <w:bookmarkStart w:id="17" w:name="_Toc212039506"/>
      <w:r>
        <w:t>2.3.3. Stopa registrovane nezaposlenosti</w:t>
      </w:r>
      <w:bookmarkEnd w:id="17"/>
    </w:p>
    <w:p w:rsidR="00E944C2" w:rsidRDefault="00E944C2" w:rsidP="00316155">
      <w:pPr>
        <w:pStyle w:val="Normal1"/>
        <w:jc w:val="both"/>
      </w:pPr>
    </w:p>
    <w:p w:rsidR="00E944C2" w:rsidRDefault="00F7666C" w:rsidP="00E36C81">
      <w:pPr>
        <w:pStyle w:val="Normal1"/>
        <w:spacing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Stopa registrovane nezaposlenosti, posmatrana kao odnos broja registrovanih nezaposlenih i aktivnog stanovništva (registrovani nezaposleni i registrovani zaposlenih), u junu 2024. godine, je iznosila 4,63% (na nivou Crne Gore 11,56%). U odnosu na stopu nezaposlenosti iz juna 2023. godini, kada je iznosila 5,94% (na nivou Crne Gore 13,75%), došlo je do smanjenja stope za 1,31 procentni poen (na nivou Crne Gore smanjenje je za 2,19 p.p.).</w:t>
      </w:r>
    </w:p>
    <w:p w:rsidR="00E944C2" w:rsidRDefault="00F7666C" w:rsidP="00E36C81">
      <w:pPr>
        <w:pStyle w:val="Normal1"/>
        <w:spacing w:after="12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Prosječna stopa nezaposlenosti u 2024. godini, posmatrana kao odnos prosječnog broja registrovanih nezaposlenih i prosječnog broja aktivnog stanovništva tokom godine (prosječan broj registrovanih nezaposleni i prosječan broj registrovanih zaposlenih), je iznosila 6,20%, a na nivou Crne Gore 14,35%. </w:t>
      </w: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8. Pregled stopa nezaposlenosti</w:t>
      </w:r>
    </w:p>
    <w:tbl>
      <w:tblPr>
        <w:tblStyle w:val="71"/>
        <w:tblW w:w="8832" w:type="dxa"/>
        <w:tblInd w:w="11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951"/>
        <w:gridCol w:w="1098"/>
        <w:gridCol w:w="1358"/>
        <w:gridCol w:w="1280"/>
        <w:gridCol w:w="1228"/>
        <w:gridCol w:w="1407"/>
        <w:gridCol w:w="1510"/>
      </w:tblGrid>
      <w:tr w:rsidR="00E944C2">
        <w:trPr>
          <w:cantSplit/>
          <w:tblHeader/>
        </w:trPr>
        <w:tc>
          <w:tcPr>
            <w:tcW w:w="951"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Mjesec</w:t>
            </w:r>
          </w:p>
        </w:tc>
        <w:tc>
          <w:tcPr>
            <w:tcW w:w="1098" w:type="dxa"/>
          </w:tcPr>
          <w:p w:rsidR="00E944C2" w:rsidRDefault="00E944C2" w:rsidP="00316155">
            <w:pPr>
              <w:pStyle w:val="Normal1"/>
              <w:jc w:val="both"/>
              <w:rPr>
                <w:rFonts w:ascii="Times New Roman" w:eastAsia="Times New Roman" w:hAnsi="Times New Roman" w:cs="Times New Roman"/>
                <w:sz w:val="18"/>
                <w:szCs w:val="18"/>
              </w:rPr>
            </w:pP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Broj nezaposlenih ukupno</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Broj nezaposlenih žena</w:t>
            </w:r>
          </w:p>
        </w:tc>
        <w:tc>
          <w:tcPr>
            <w:tcW w:w="122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Broj zaposlenih ukupno</w:t>
            </w:r>
          </w:p>
        </w:tc>
        <w:tc>
          <w:tcPr>
            <w:tcW w:w="1407"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Aktivno stanovništvo</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Stopa registrovane nezaposlenosti</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Januar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7766</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4817</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101932</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109698</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7.08</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44786</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25638</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230057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274843</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16.30</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Februar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7839</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4853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102739</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110578</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7.09</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44632</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25484</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232461</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277093</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16.11</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Mart</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7594</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4685</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103218</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110812</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6.85</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43857</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25007</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234839</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278696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15.74</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April</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7442</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4612</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103873</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111315</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6.69</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42594</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24417</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238455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281049</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15.16</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Maj</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7155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4442</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104810</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111965</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6.39</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41415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23819</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244245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285660</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14.50</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Jun</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6732</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4203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106585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113317</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5.94</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40304</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23258</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252734</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293038</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13.75</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Jul</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6585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4146</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107787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114372</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5.76</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38733</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22461</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258024</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296757</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13.05</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Avgust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6441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4056</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107623</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114064</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5.65</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38108</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22141</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253581</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291689</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13.06</w:t>
            </w:r>
          </w:p>
        </w:tc>
      </w:tr>
    </w:tbl>
    <w:p w:rsidR="00900D75" w:rsidRDefault="00900D75"/>
    <w:tbl>
      <w:tblPr>
        <w:tblStyle w:val="71"/>
        <w:tblW w:w="8832" w:type="dxa"/>
        <w:tblInd w:w="115"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Look w:val="04A0"/>
      </w:tblPr>
      <w:tblGrid>
        <w:gridCol w:w="951"/>
        <w:gridCol w:w="1098"/>
        <w:gridCol w:w="1358"/>
        <w:gridCol w:w="1280"/>
        <w:gridCol w:w="1228"/>
        <w:gridCol w:w="1407"/>
        <w:gridCol w:w="1510"/>
      </w:tblGrid>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Septembar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6306</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3936</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107505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113811</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5.54</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37649</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21806</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248834</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286483</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13.14</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Oktobar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6631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4138</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108147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114778</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5.78</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39128</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22737</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247125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286253</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13.67</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Novembar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6858</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4266</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108367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115225</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5.95</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40378</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23499</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247003</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287381</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14.05</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Decembar 2023.</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6701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4173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108833</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115534</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5.80</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23499</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23263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246449</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269948</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13.95</w:t>
            </w:r>
          </w:p>
        </w:tc>
      </w:tr>
      <w:tr w:rsidR="00E944C2">
        <w:trPr>
          <w:cantSplit/>
          <w:tblHeader/>
        </w:trPr>
        <w:tc>
          <w:tcPr>
            <w:tcW w:w="951" w:type="dxa"/>
            <w:vMerge w:val="restart"/>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Prosjek 2023.</w:t>
            </w:r>
          </w:p>
        </w:tc>
        <w:tc>
          <w:tcPr>
            <w:tcW w:w="109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7004</w:t>
            </w:r>
          </w:p>
        </w:tc>
        <w:tc>
          <w:tcPr>
            <w:tcW w:w="128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4361</w:t>
            </w:r>
          </w:p>
        </w:tc>
        <w:tc>
          <w:tcPr>
            <w:tcW w:w="1228" w:type="dxa"/>
            <w:shd w:val="clear" w:color="auto" w:fill="D9E2F3"/>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105952</w:t>
            </w:r>
          </w:p>
        </w:tc>
        <w:tc>
          <w:tcPr>
            <w:tcW w:w="1407" w:type="dxa"/>
            <w:shd w:val="clear" w:color="auto" w:fill="D9E2F3"/>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112956</w:t>
            </w:r>
          </w:p>
        </w:tc>
        <w:tc>
          <w:tcPr>
            <w:tcW w:w="151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6.20</w:t>
            </w:r>
          </w:p>
        </w:tc>
      </w:tr>
      <w:tr w:rsidR="00E944C2">
        <w:trPr>
          <w:cantSplit/>
          <w:tblHeader/>
        </w:trPr>
        <w:tc>
          <w:tcPr>
            <w:tcW w:w="951" w:type="dxa"/>
            <w:vMerge/>
            <w:shd w:val="clear" w:color="auto" w:fill="D9E2F3"/>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40961</w:t>
            </w:r>
          </w:p>
        </w:tc>
        <w:tc>
          <w:tcPr>
            <w:tcW w:w="128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23628</w:t>
            </w:r>
          </w:p>
        </w:tc>
        <w:tc>
          <w:tcPr>
            <w:tcW w:w="1228" w:type="dxa"/>
            <w:shd w:val="clear" w:color="auto" w:fill="D9E2F3"/>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244484</w:t>
            </w:r>
          </w:p>
        </w:tc>
        <w:tc>
          <w:tcPr>
            <w:tcW w:w="1407" w:type="dxa"/>
            <w:shd w:val="clear" w:color="auto" w:fill="D9E2F3"/>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285445</w:t>
            </w:r>
          </w:p>
        </w:tc>
        <w:tc>
          <w:tcPr>
            <w:tcW w:w="151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14.35</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Januar 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6226</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3879</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109114</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115340</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5.40</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38161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22153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247105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285266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13.38</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Februar 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6116</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3807</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109691</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115807</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5.28</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38014</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22040</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248432</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286446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13.27</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Mart</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5945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3701</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110267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116212</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5.12</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37128</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21584</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251108</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288236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12.88</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April</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5775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3588</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110356</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116131</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4.97</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36421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21234</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252985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289406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12.58</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Maj</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5561</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3497</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111115</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116676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4.77</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35415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20723</w:t>
            </w:r>
          </w:p>
        </w:tc>
        <w:tc>
          <w:tcPr>
            <w:tcW w:w="1228" w:type="dxa"/>
            <w:shd w:val="clear" w:color="auto" w:fill="auto"/>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257521</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292936</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12.09</w:t>
            </w:r>
          </w:p>
        </w:tc>
      </w:tr>
      <w:tr w:rsidR="00E944C2">
        <w:trPr>
          <w:cantSplit/>
          <w:tblHeader/>
        </w:trPr>
        <w:tc>
          <w:tcPr>
            <w:tcW w:w="951" w:type="dxa"/>
            <w:vMerge w:val="restart"/>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Jun</w:t>
            </w:r>
          </w:p>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2024.</w:t>
            </w: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5453</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3452</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112380</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117833</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4.63</w:t>
            </w:r>
          </w:p>
        </w:tc>
      </w:tr>
      <w:tr w:rsidR="00E944C2">
        <w:trPr>
          <w:cantSplit/>
          <w:tblHeader/>
        </w:trPr>
        <w:tc>
          <w:tcPr>
            <w:tcW w:w="951" w:type="dxa"/>
            <w:vMerge/>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34715</w:t>
            </w:r>
          </w:p>
        </w:tc>
        <w:tc>
          <w:tcPr>
            <w:tcW w:w="128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20397</w:t>
            </w:r>
          </w:p>
        </w:tc>
        <w:tc>
          <w:tcPr>
            <w:tcW w:w="1228" w:type="dxa"/>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265527</w:t>
            </w:r>
          </w:p>
        </w:tc>
        <w:tc>
          <w:tcPr>
            <w:tcW w:w="1407" w:type="dxa"/>
            <w:shd w:val="clear" w:color="auto" w:fill="auto"/>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300242</w:t>
            </w:r>
          </w:p>
        </w:tc>
        <w:tc>
          <w:tcPr>
            <w:tcW w:w="1510" w:type="dxa"/>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11.56</w:t>
            </w:r>
          </w:p>
        </w:tc>
      </w:tr>
      <w:tr w:rsidR="00E944C2">
        <w:trPr>
          <w:cantSplit/>
          <w:tblHeader/>
        </w:trPr>
        <w:tc>
          <w:tcPr>
            <w:tcW w:w="951" w:type="dxa"/>
            <w:vMerge w:val="restart"/>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Prosjek I-VI 2024.</w:t>
            </w:r>
          </w:p>
        </w:tc>
        <w:tc>
          <w:tcPr>
            <w:tcW w:w="109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Podgorica</w:t>
            </w:r>
          </w:p>
        </w:tc>
        <w:tc>
          <w:tcPr>
            <w:tcW w:w="135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5846</w:t>
            </w:r>
          </w:p>
        </w:tc>
        <w:tc>
          <w:tcPr>
            <w:tcW w:w="128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3654</w:t>
            </w:r>
          </w:p>
        </w:tc>
        <w:tc>
          <w:tcPr>
            <w:tcW w:w="1228" w:type="dxa"/>
            <w:shd w:val="clear" w:color="auto" w:fill="D9E2F3"/>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55244</w:t>
            </w:r>
          </w:p>
        </w:tc>
        <w:tc>
          <w:tcPr>
            <w:tcW w:w="1407" w:type="dxa"/>
            <w:shd w:val="clear" w:color="auto" w:fill="D9E2F3"/>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61090</w:t>
            </w:r>
          </w:p>
        </w:tc>
        <w:tc>
          <w:tcPr>
            <w:tcW w:w="151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5.03</w:t>
            </w:r>
          </w:p>
        </w:tc>
      </w:tr>
      <w:tr w:rsidR="00E944C2">
        <w:trPr>
          <w:cantSplit/>
          <w:tblHeader/>
        </w:trPr>
        <w:tc>
          <w:tcPr>
            <w:tcW w:w="951" w:type="dxa"/>
            <w:vMerge/>
            <w:shd w:val="clear" w:color="auto" w:fill="D9E2F3"/>
          </w:tcPr>
          <w:p w:rsidR="00E944C2" w:rsidRDefault="00E944C2" w:rsidP="00316155">
            <w:pPr>
              <w:pStyle w:val="Normal1"/>
              <w:widowControl w:val="0"/>
              <w:spacing w:after="0" w:line="276" w:lineRule="auto"/>
              <w:jc w:val="both"/>
              <w:rPr>
                <w:rFonts w:ascii="Times New Roman" w:eastAsia="Times New Roman" w:hAnsi="Times New Roman" w:cs="Times New Roman"/>
                <w:sz w:val="18"/>
                <w:szCs w:val="18"/>
              </w:rPr>
            </w:pPr>
          </w:p>
        </w:tc>
        <w:tc>
          <w:tcPr>
            <w:tcW w:w="109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Crna Gora</w:t>
            </w:r>
          </w:p>
        </w:tc>
        <w:tc>
          <w:tcPr>
            <w:tcW w:w="1358"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36642</w:t>
            </w:r>
          </w:p>
        </w:tc>
        <w:tc>
          <w:tcPr>
            <w:tcW w:w="128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21355</w:t>
            </w:r>
          </w:p>
        </w:tc>
        <w:tc>
          <w:tcPr>
            <w:tcW w:w="1228" w:type="dxa"/>
            <w:shd w:val="clear" w:color="auto" w:fill="D9E2F3"/>
            <w:vAlign w:val="bottom"/>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126890</w:t>
            </w:r>
          </w:p>
        </w:tc>
        <w:tc>
          <w:tcPr>
            <w:tcW w:w="1407" w:type="dxa"/>
            <w:shd w:val="clear" w:color="auto" w:fill="D9E2F3"/>
            <w:vAlign w:val="center"/>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163532</w:t>
            </w:r>
          </w:p>
        </w:tc>
        <w:tc>
          <w:tcPr>
            <w:tcW w:w="1510" w:type="dxa"/>
            <w:shd w:val="clear" w:color="auto" w:fill="D9E2F3"/>
          </w:tcPr>
          <w:p w:rsidR="00E944C2" w:rsidRDefault="00F7666C" w:rsidP="00316155">
            <w:pPr>
              <w:pStyle w:val="Normal1"/>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12.62</w:t>
            </w:r>
          </w:p>
        </w:tc>
      </w:tr>
    </w:tbl>
    <w:p w:rsidR="00E944C2" w:rsidRDefault="00F7666C" w:rsidP="00316155">
      <w:pPr>
        <w:pStyle w:val="Normal1"/>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Zavod za zapošljavanje Crne Gore</w:t>
      </w:r>
    </w:p>
    <w:p w:rsidR="00E944C2" w:rsidRDefault="00E944C2" w:rsidP="00316155">
      <w:pPr>
        <w:pStyle w:val="Normal1"/>
        <w:jc w:val="both"/>
      </w:pPr>
    </w:p>
    <w:p w:rsidR="00E944C2" w:rsidRDefault="00F7666C" w:rsidP="00316155">
      <w:pPr>
        <w:pStyle w:val="Heading2"/>
        <w:jc w:val="both"/>
      </w:pPr>
      <w:bookmarkStart w:id="18" w:name="_Toc212039507"/>
      <w:r>
        <w:t>2.4. Industrija i preduzetništvo</w:t>
      </w:r>
      <w:bookmarkEnd w:id="18"/>
    </w:p>
    <w:p w:rsidR="00E944C2" w:rsidRDefault="00E944C2" w:rsidP="00316155">
      <w:pPr>
        <w:pStyle w:val="Normal1"/>
        <w:ind w:left="632"/>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kao Glavni grad Crne Gore, predstavlja značajan ekonomski centar koji obuhvata širok spektar privrednih grana kao što su prerađivačke industrija, poljoprivreda, turizam, trgovina, dok sektor informacionih tehnologija bilježi sve veći rast. Pored toga, Podgorica je prepoznata po svojoj dinamičnoj poslovnoj klimi i strateškom položaju, što je čini ključnim čvorištem za mnoge domaće i međunarodne kompanije. Industrije poput proizvodnje, usluga i maloprodaje kontinuirano doprinose razvoju i modernizaciji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Broj aktivnih poslovnih subjekata u Podgorici je u stalnom porastu, što ukazuje na dinamičan razvoj mikro, malih i srednjih preduzeća. Grad nudi povoljne uslove za razvoj biznisa, uključujući finansijske podsticaje i razvoj biznis zona.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Podgorica sprovodi različite programe podrške i aktivnosti sa ciljem podrške razvoju mikro, malih i srednjih preduzeća, kao i povećanju zaposlenosti. Pogrami podrške se zasnivaju na potrebama i interesima preduzetnika i većinom se odnose na dodjelu bespovratnih finansijskih sredstava. Među značajnijim su: podrška ženskom predzetništvu, podrška tehnološkom razvoju i inovacijama, podrška starim zanatima, podrška turizmu i ugostiteljstvu, podrška samozapošljavanju, i nefinansijska podrška preduzetništvu. Ove mjere su osmišljene da pomognu preduzetnicima u savladavanju izazova i unapređenju konkurentnosti poslovnog sektora u Podgorici. U 2025. godini za ove vrste programa podrške izdvojeno je 420.000€. Svi navedeni programi podrške realizuju se kroz Javne konkurse koji su objavljeni u septembru 2025. godine, u toku je realizacija istih.</w:t>
      </w: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Kada je riječ o ženskom preduzetništvu, Podgorica se ističe kao vodeći centar ženskog preduzetništva u Crnoj Gori. Ova dominacija naglašava važnost Glavnog grada kao ključnog </w:t>
      </w:r>
      <w:r w:rsidR="00E944C2" w:rsidRPr="00F7666C">
        <w:rPr>
          <w:rFonts w:ascii="Times New Roman" w:eastAsia="Times New Roman" w:hAnsi="Times New Roman" w:cs="Times New Roman"/>
          <w:color w:val="000000"/>
          <w:sz w:val="24"/>
          <w:szCs w:val="24"/>
        </w:rPr>
        <w:t>zamajca</w:t>
      </w:r>
      <w:r>
        <w:rPr>
          <w:rFonts w:ascii="Times New Roman" w:eastAsia="Times New Roman" w:hAnsi="Times New Roman" w:cs="Times New Roman"/>
          <w:color w:val="000000"/>
          <w:sz w:val="24"/>
          <w:szCs w:val="24"/>
        </w:rPr>
        <w:t xml:space="preserve"> ekonomskog razvoja i inkluzivnosti, budući da se podrška ženskom preduzetništvu direktno se odnosi na Cilj 5 (Postići rodnu ravnopravnost i osnažiti sve žene i djevojčice) i Cilj 8 (Promovisati inkluzivan i održiv ekonomski rast, punu i produktivnu zaposlenost i dostojanstven rad za sve) iz Agende za održivi razvoj Ujedinjenih nacija. Pregled podataka o preduzetništvu po opštinama dodatno osvetljava ovu važnu ulogu Podgorice. Podaci jasno pokazuju da je Podgorica, sa 2579 ženskih preduzeća koja čine 40.75% ukupnog ženskog preduzetništva u Crnoj Gori, lider u ovom segmentu, što reflektuje povoljno poslovno okruženje i podršku lokalnih institucija.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sidRPr="00F7666C">
        <w:rPr>
          <w:rFonts w:ascii="Times New Roman" w:eastAsia="Times New Roman" w:hAnsi="Times New Roman" w:cs="Times New Roman"/>
          <w:color w:val="000000"/>
          <w:sz w:val="24"/>
          <w:szCs w:val="24"/>
        </w:rPr>
        <w:t xml:space="preserve">Kada je u pitanju mjera podrške o ženskom preduzetništvu koja se sprovodi još od 2019. godine </w:t>
      </w:r>
      <w:r w:rsidR="00E944C2" w:rsidRPr="00F7666C">
        <w:rPr>
          <w:rFonts w:ascii="Times New Roman" w:eastAsia="Times New Roman" w:hAnsi="Times New Roman" w:cs="Times New Roman"/>
          <w:color w:val="000000"/>
          <w:sz w:val="24"/>
          <w:szCs w:val="24"/>
        </w:rPr>
        <w:t>doprinijela je</w:t>
      </w:r>
      <w:r w:rsidRPr="00F7666C">
        <w:rPr>
          <w:rFonts w:ascii="Times New Roman" w:eastAsia="Times New Roman" w:hAnsi="Times New Roman" w:cs="Times New Roman"/>
          <w:color w:val="000000"/>
          <w:sz w:val="24"/>
          <w:szCs w:val="24"/>
        </w:rPr>
        <w:t xml:space="preserve"> razvoju preduzetnica na nivou </w:t>
      </w:r>
      <w:r w:rsidR="00E944C2" w:rsidRPr="00F7666C">
        <w:rPr>
          <w:rFonts w:ascii="Times New Roman" w:eastAsia="Times New Roman" w:hAnsi="Times New Roman" w:cs="Times New Roman"/>
          <w:color w:val="000000"/>
          <w:sz w:val="24"/>
          <w:szCs w:val="24"/>
        </w:rPr>
        <w:t xml:space="preserve">Glavnog grada. </w:t>
      </w:r>
      <w:r w:rsidRPr="00F7666C">
        <w:rPr>
          <w:rFonts w:ascii="Times New Roman" w:eastAsia="Times New Roman" w:hAnsi="Times New Roman" w:cs="Times New Roman"/>
          <w:color w:val="000000"/>
          <w:sz w:val="24"/>
          <w:szCs w:val="24"/>
        </w:rPr>
        <w:t>U nastavku je dat tabelarni pregled do sada podržanih preduzetnica sa ukupnim iznosom</w:t>
      </w:r>
      <w:r w:rsidR="00E944C2" w:rsidRPr="00F7666C">
        <w:rPr>
          <w:rFonts w:ascii="Times New Roman" w:eastAsia="Times New Roman" w:hAnsi="Times New Roman" w:cs="Times New Roman"/>
          <w:color w:val="000000"/>
          <w:sz w:val="24"/>
          <w:szCs w:val="24"/>
        </w:rPr>
        <w:t>sredstava.</w:t>
      </w:r>
    </w:p>
    <w:p w:rsidR="00900D75" w:rsidRDefault="00900D75" w:rsidP="00E36C81">
      <w:pPr>
        <w:pStyle w:val="Normal1"/>
        <w:spacing w:before="240" w:after="0" w:line="360" w:lineRule="auto"/>
        <w:jc w:val="both"/>
        <w:rPr>
          <w:rFonts w:ascii="Times New Roman" w:eastAsia="Times New Roman" w:hAnsi="Times New Roman" w:cs="Times New Roman"/>
          <w:sz w:val="24"/>
          <w:szCs w:val="24"/>
        </w:rPr>
      </w:pP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9. Mjera podrške o ženskom preduzetništvu</w:t>
      </w:r>
    </w:p>
    <w:tbl>
      <w:tblPr>
        <w:tblW w:w="0" w:type="auto"/>
        <w:tblInd w:w="108" w:type="dxa"/>
        <w:tblLook w:val="04A0"/>
      </w:tblPr>
      <w:tblGrid>
        <w:gridCol w:w="7484"/>
      </w:tblGrid>
      <w:tr w:rsidR="00E944C2">
        <w:trPr>
          <w:trHeight w:val="4430"/>
        </w:trPr>
        <w:tc>
          <w:tcPr>
            <w:tcW w:w="7484" w:type="dxa"/>
          </w:tcPr>
          <w:tbl>
            <w:tblPr>
              <w:tblStyle w:val="69"/>
              <w:tblW w:w="5816" w:type="dxa"/>
              <w:tblInd w:w="0" w:type="dxa"/>
              <w:tblLook w:val="04A0"/>
            </w:tblPr>
            <w:tblGrid>
              <w:gridCol w:w="940"/>
              <w:gridCol w:w="3651"/>
              <w:gridCol w:w="1225"/>
            </w:tblGrid>
            <w:tr w:rsidR="00E944C2">
              <w:trPr>
                <w:cantSplit/>
                <w:trHeight w:val="450"/>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i/>
                      <w:sz w:val="20"/>
                      <w:szCs w:val="20"/>
                    </w:rPr>
                  </w:pPr>
                  <w:r>
                    <w:rPr>
                      <w:i/>
                      <w:sz w:val="20"/>
                      <w:szCs w:val="20"/>
                    </w:rPr>
                    <w:t>Godine</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i/>
                      <w:sz w:val="20"/>
                      <w:szCs w:val="20"/>
                    </w:rPr>
                  </w:pPr>
                  <w:r>
                    <w:rPr>
                      <w:i/>
                      <w:sz w:val="20"/>
                      <w:szCs w:val="20"/>
                    </w:rPr>
                    <w:t>Sredstva predviđena Budžetom Glavnog grada u eurima</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i/>
                      <w:sz w:val="20"/>
                      <w:szCs w:val="20"/>
                    </w:rPr>
                  </w:pPr>
                  <w:r>
                    <w:rPr>
                      <w:i/>
                      <w:sz w:val="20"/>
                      <w:szCs w:val="20"/>
                    </w:rPr>
                    <w:t>Broj korisnica</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2019</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8</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2020 - 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12</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2020 - II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10</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2021 - 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10</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2021 - II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10</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2022 - 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13</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2022- II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10</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2023 - 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25.000,00 €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16</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2023 - II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25.000,00 €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7</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2024</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70.000,00 €</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w:t>
                  </w: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2025 - I</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45.000,00 €[1]</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15</w:t>
                  </w:r>
                </w:p>
              </w:tc>
            </w:tr>
            <w:tr w:rsidR="00E944C2">
              <w:trPr>
                <w:cantSplit/>
                <w:trHeight w:val="135"/>
                <w:tblHeader/>
              </w:trPr>
              <w:tc>
                <w:tcPr>
                  <w:tcW w:w="940"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c>
                <w:tcPr>
                  <w:tcW w:w="3651"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c>
                <w:tcPr>
                  <w:tcW w:w="1225"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r>
            <w:tr w:rsidR="00E944C2">
              <w:trPr>
                <w:cantSplit/>
                <w:trHeight w:val="135"/>
                <w:tblHeader/>
              </w:trPr>
              <w:tc>
                <w:tcPr>
                  <w:tcW w:w="940"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c>
                <w:tcPr>
                  <w:tcW w:w="3651"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c>
                <w:tcPr>
                  <w:tcW w:w="1225" w:type="dxa"/>
                  <w:tcBorders>
                    <w:top w:val="nil"/>
                    <w:left w:val="nil"/>
                    <w:bottom w:val="nil"/>
                    <w:right w:val="nil"/>
                  </w:tcBorders>
                  <w:tcMar>
                    <w:top w:w="0" w:type="dxa"/>
                    <w:left w:w="100" w:type="dxa"/>
                    <w:bottom w:w="0" w:type="dxa"/>
                    <w:right w:w="100" w:type="dxa"/>
                  </w:tcMar>
                </w:tcPr>
                <w:p w:rsidR="00E944C2" w:rsidRDefault="00E944C2" w:rsidP="00316155">
                  <w:pPr>
                    <w:pStyle w:val="Normal1"/>
                    <w:jc w:val="both"/>
                  </w:pPr>
                </w:p>
              </w:tc>
            </w:tr>
            <w:tr w:rsidR="00E944C2">
              <w:trPr>
                <w:cantSplit/>
                <w:trHeight w:val="225"/>
                <w:tblHeader/>
              </w:trPr>
              <w:tc>
                <w:tcPr>
                  <w:tcW w:w="940"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sz w:val="20"/>
                      <w:szCs w:val="20"/>
                    </w:rPr>
                    <w:t>Ukupno</w:t>
                  </w:r>
                </w:p>
              </w:tc>
              <w:tc>
                <w:tcPr>
                  <w:tcW w:w="3651"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sz w:val="20"/>
                      <w:szCs w:val="20"/>
                    </w:rPr>
                  </w:pPr>
                  <w:r>
                    <w:rPr>
                      <w:b/>
                      <w:sz w:val="20"/>
                      <w:szCs w:val="20"/>
                    </w:rPr>
                    <w:t xml:space="preserve">305.000,00 </w:t>
                  </w:r>
                  <w:r>
                    <w:rPr>
                      <w:sz w:val="20"/>
                      <w:szCs w:val="20"/>
                    </w:rPr>
                    <w:t>€</w:t>
                  </w:r>
                </w:p>
              </w:tc>
              <w:tc>
                <w:tcPr>
                  <w:tcW w:w="1225" w:type="dxa"/>
                  <w:tcBorders>
                    <w:top w:val="nil"/>
                    <w:left w:val="nil"/>
                    <w:bottom w:val="nil"/>
                    <w:right w:val="nil"/>
                  </w:tcBorders>
                  <w:tcMar>
                    <w:top w:w="0" w:type="dxa"/>
                    <w:left w:w="100" w:type="dxa"/>
                    <w:bottom w:w="0" w:type="dxa"/>
                    <w:right w:w="100" w:type="dxa"/>
                  </w:tcMar>
                </w:tcPr>
                <w:p w:rsidR="00E944C2" w:rsidRDefault="00F7666C" w:rsidP="00316155">
                  <w:pPr>
                    <w:pStyle w:val="Normal1"/>
                    <w:spacing w:before="240" w:after="240"/>
                    <w:jc w:val="both"/>
                    <w:rPr>
                      <w:b/>
                      <w:sz w:val="20"/>
                      <w:szCs w:val="20"/>
                    </w:rPr>
                  </w:pPr>
                  <w:r>
                    <w:rPr>
                      <w:b/>
                      <w:sz w:val="20"/>
                      <w:szCs w:val="20"/>
                    </w:rPr>
                    <w:t>131</w:t>
                  </w:r>
                </w:p>
              </w:tc>
            </w:tr>
          </w:tbl>
          <w:p w:rsidR="00E944C2" w:rsidRDefault="00E944C2" w:rsidP="00316155">
            <w:pPr>
              <w:jc w:val="both"/>
            </w:pPr>
          </w:p>
        </w:tc>
      </w:tr>
    </w:tbl>
    <w:p w:rsidR="00E944C2" w:rsidRDefault="00F7666C" w:rsidP="00316155">
      <w:pPr>
        <w:pStyle w:val="Normal1"/>
        <w:spacing w:before="240" w:after="240"/>
        <w:jc w:val="both"/>
        <w:rPr>
          <w:rFonts w:ascii="Times New Roman" w:eastAsia="Times New Roman" w:hAnsi="Times New Roman" w:cs="Times New Roman"/>
        </w:rPr>
      </w:pPr>
      <w:r>
        <w:rPr>
          <w:rFonts w:ascii="Times New Roman" w:eastAsia="Times New Roman" w:hAnsi="Times New Roman" w:cs="Times New Roman"/>
          <w:i/>
        </w:rPr>
        <w:t>Napomena:</w:t>
      </w:r>
      <w:r>
        <w:rPr>
          <w:rFonts w:ascii="Times New Roman" w:eastAsia="Times New Roman" w:hAnsi="Times New Roman" w:cs="Times New Roman"/>
        </w:rPr>
        <w:t xml:space="preserve"> U toku je drugi Javni konkurs za podršku ženskom preduzetništvu za 2025. godinu sa izdvojenim budžetom od 45.000,00 eura.</w:t>
      </w:r>
    </w:p>
    <w:p w:rsidR="00E944C2" w:rsidRDefault="00E944C2" w:rsidP="00316155">
      <w:pPr>
        <w:pStyle w:val="Heading2"/>
        <w:jc w:val="both"/>
      </w:pPr>
    </w:p>
    <w:p w:rsidR="000F43B7" w:rsidRPr="00316155" w:rsidRDefault="000F43B7" w:rsidP="00316155">
      <w:pPr>
        <w:pStyle w:val="Normal1"/>
      </w:pPr>
    </w:p>
    <w:p w:rsidR="00E944C2" w:rsidRDefault="00F7666C" w:rsidP="00316155">
      <w:pPr>
        <w:pStyle w:val="Heading2"/>
        <w:jc w:val="both"/>
      </w:pPr>
      <w:bookmarkStart w:id="19" w:name="_Toc212039508"/>
      <w:r>
        <w:t>2.5. Poljoprivreda</w:t>
      </w:r>
      <w:bookmarkEnd w:id="19"/>
    </w:p>
    <w:p w:rsidR="00E944C2" w:rsidRDefault="00E944C2" w:rsidP="00316155">
      <w:pPr>
        <w:pStyle w:val="Normal1"/>
        <w:ind w:left="-88"/>
        <w:jc w:val="both"/>
      </w:pP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Poljoprivredna proizvodnja na teritoriji Glavnog grada je jako usitnjenja, što je uslovljeno prvenstveno nedostatkom velikih poljoprivrednih površina, kao i velikoj migraciji stanovništva iz sela u grad, pa možemo reći da intenzivne poljoprivredne proizvodnje skoro i da nema, osim u nekim pojedinačnim slučajevima u proizvodnji i preradi vina, jagodičastog voća, prerade šampinjona i tova piladi. To upućuje da se poljoprivredna proizvodnja treba kretati u tzv. “niche” smjeru, koji treba da karakteriše prvenstveno kvalitet i svježina proizvoda, kao i laka dostupnost tržištu. Plasman poljoprivrednih proizvoda se vrši uglavnom na kućnom pragu ili na zelenim pijacama, dok je prodaja gotovih poljoprivrednih proizvoda u maloprodajnim sistemima gotovo neprimjetna. Zbog geografske specifičnosti Glavni grad je razvoj poljoprivrede i ruralni razvoj posmatrao različito u odnosu na određena područja, iz razloga što na tako malom prostoru, ima tri različite klimatske zone, gdje se od mediteranske klime, koja ima karakteristično jako visoke ljetnje temperature i tropske noći, ulazi prema sjeveru u kontinentalnu klimu, koja se dalje prostire do planinske klime. Glavni grad se iz navedenog posmatra kroz 6 područja i to: 1) područje Lješanske nahije u kojem imamo 27 naselja, gdje preovladavaju poljoprivredna domaćinstva srednje i staračke dobi; 2) područje Lješkopolja u kojem ima 8 naselja, gdje preovladavaju poljoprivredna gazdinstva mlađe i srednje dobi; 3) područje Kuča u kojem ima 22 naselja, gdje preovadavaju poljoprivredna gazdinstva staračke dobi; 4) područje Pipera u kojem ima 17 naselja, gdje preovadavaju poljoprivredna gazdinstva srednje i staračke dobi; 5) područje Bratonožića u kojem ima 14 naselja, gdje preovadavaju poljoprivredna gazdinstva staračke dobi; 6) područje Lijeve Rijeke u kojem imamo 20 naselja, gdje preovadavaju poljoprivredna gazdinstva staračke dobi.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područje Lješanske nahije dominantni sektori poljoprivrede mogu biti vinogradarstvo ( vino, grožđe i rakija) i maslinarstvo, za područje Lješkopolja, voćarstvo (trešnje, jagode, kajsije, lubenice itd), vinogradarstvo (vino, grožđe i rakija) i povrtarstvo (paradajz, paprika, krastavac itd), za područje Kuča, stočarstvo (proizvodnja tradicionalnog sira), ratarstvo ( krompir, luk, mrkva itd) i pčelarstvo ( idealno za selidbu zbog više klimatskih zona i različite biljne flore), za područje Pipera, vinogradarstvo vinogradarstvo ( vino, grpžđe i rakija) i pčelarstvo, kao i sektor ljekovitog bilja, pogotovo žalfije, za područje Bratonožića, vinogradarstvo i maslinarstvo ( u donjim Bratonožićima), za područje Lijeve Rijeke, ratarstvo ( krompir, luk, mrkva itd) i pčelarstvo, sa potencijalom za otkup ljekovitog bilja i šumskih plodova. Stepen prerade gotovih proizvoda skoro u svim područjima je na mikro nivou, osim u Lješanskoj nahiji, gdje se uočava prerada poljopriovrednih proizvoda, kao što su meso piladi, proizvodnja šampinjona i jagodičastog voća. Sve ukazuje da je neophodno uvezivanje potencijala sa agro-turzmom i plasmanom kroz taj kanal prodaje, sa fokusom da se budući mali prerađivački objekti usklade sa HACCP i nacionalnim standardima radi bezbjednosti proizvoda koji idu prema krajnjim kupcima.</w:t>
      </w:r>
    </w:p>
    <w:p w:rsidR="00E944C2" w:rsidRDefault="00E944C2" w:rsidP="00316155">
      <w:pPr>
        <w:pStyle w:val="Heading4"/>
        <w:jc w:val="both"/>
      </w:pPr>
    </w:p>
    <w:p w:rsidR="00E944C2" w:rsidRDefault="00F7666C" w:rsidP="00316155">
      <w:pPr>
        <w:pStyle w:val="Heading3"/>
        <w:jc w:val="both"/>
      </w:pPr>
      <w:bookmarkStart w:id="20" w:name="_Toc212039509"/>
      <w:r>
        <w:t>2.5.1.  Finansijske mjere podrške poljoprivredi</w:t>
      </w:r>
      <w:bookmarkEnd w:id="20"/>
    </w:p>
    <w:p w:rsidR="00E944C2" w:rsidRDefault="00E944C2" w:rsidP="00316155">
      <w:pPr>
        <w:pStyle w:val="Heading4"/>
        <w:jc w:val="both"/>
        <w:rPr>
          <w:color w:val="0B5394"/>
        </w:rPr>
      </w:pPr>
      <w:bookmarkStart w:id="21" w:name="_dx9gaeai9u0l" w:colFirst="0" w:colLast="0"/>
      <w:bookmarkEnd w:id="21"/>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Nakon odvajanja od Sekretarijata za preduzetništvo od 2023. godine  Služba za podršku poljoprivredi je raspisivala Javne pozive za podršku poljoprivredi u sklopu Programa podrške poljoprivredi i ruralnom razvoju za teritoriju Glavnog grada, sa značajnimgodišnjim povećanjima budžeta. </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10. Pregled sredstava za podršku poljoprivredi</w:t>
      </w:r>
    </w:p>
    <w:tbl>
      <w:tblPr>
        <w:tblStyle w:val="68"/>
        <w:tblW w:w="9348" w:type="dxa"/>
        <w:tblInd w:w="0" w:type="dxa"/>
        <w:tblLayout w:type="fixed"/>
        <w:tblLook w:val="04A0"/>
      </w:tblPr>
      <w:tblGrid>
        <w:gridCol w:w="3961"/>
        <w:gridCol w:w="1560"/>
        <w:gridCol w:w="1559"/>
        <w:gridCol w:w="2268"/>
      </w:tblGrid>
      <w:tr w:rsidR="00E944C2" w:rsidTr="00AD30E8">
        <w:trPr>
          <w:cantSplit/>
          <w:trHeight w:val="300"/>
          <w:tblHeader/>
        </w:trPr>
        <w:tc>
          <w:tcPr>
            <w:tcW w:w="3961" w:type="dxa"/>
            <w:tcBorders>
              <w:top w:val="single" w:sz="6" w:space="0" w:color="000000"/>
              <w:left w:val="single" w:sz="6" w:space="0" w:color="000000"/>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b/>
              </w:rPr>
            </w:pPr>
            <w:r>
              <w:rPr>
                <w:rFonts w:ascii="Times New Roman" w:eastAsia="Times New Roman" w:hAnsi="Times New Roman" w:cs="Times New Roman"/>
                <w:b/>
              </w:rPr>
              <w:t>Budžet Glavnog grada</w:t>
            </w:r>
          </w:p>
        </w:tc>
        <w:tc>
          <w:tcPr>
            <w:tcW w:w="1560"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2023.</w:t>
            </w:r>
          </w:p>
        </w:tc>
        <w:tc>
          <w:tcPr>
            <w:tcW w:w="1559"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2024.</w:t>
            </w:r>
          </w:p>
        </w:tc>
        <w:tc>
          <w:tcPr>
            <w:tcW w:w="2268"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r>
      <w:tr w:rsidR="00E944C2" w:rsidTr="00AD30E8">
        <w:trPr>
          <w:cantSplit/>
          <w:trHeight w:val="1545"/>
          <w:tblHeader/>
        </w:trPr>
        <w:tc>
          <w:tcPr>
            <w:tcW w:w="3961"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b/>
              </w:rPr>
            </w:pPr>
            <w:r>
              <w:rPr>
                <w:rFonts w:ascii="Times New Roman" w:eastAsia="Times New Roman" w:hAnsi="Times New Roman" w:cs="Times New Roman"/>
                <w:b/>
              </w:rPr>
              <w:t>Program podsticajnih mjera podrške poljoprivredi i ruralnom razvoju za teritoriju Glavnog grada</w:t>
            </w:r>
          </w:p>
        </w:tc>
        <w:tc>
          <w:tcPr>
            <w:tcW w:w="1560"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F7666C" w:rsidP="00316155">
            <w:pPr>
              <w:pStyle w:val="Normal1"/>
              <w:spacing w:before="240" w:after="2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235.000€</w:t>
            </w:r>
          </w:p>
        </w:tc>
        <w:tc>
          <w:tcPr>
            <w:tcW w:w="1559"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F7666C" w:rsidP="00316155">
            <w:pPr>
              <w:pStyle w:val="Normal1"/>
              <w:spacing w:before="240" w:after="2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276.000€</w:t>
            </w:r>
          </w:p>
        </w:tc>
        <w:tc>
          <w:tcPr>
            <w:tcW w:w="2268"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F7666C" w:rsidP="00316155">
            <w:pPr>
              <w:pStyle w:val="Normal1"/>
              <w:spacing w:before="240" w:after="240"/>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805.000€</w:t>
            </w:r>
          </w:p>
        </w:tc>
      </w:tr>
    </w:tbl>
    <w:p w:rsidR="00E944C2" w:rsidRDefault="00F7666C" w:rsidP="00900D75">
      <w:pPr>
        <w:pStyle w:val="Normal1"/>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Dodatno, svake godine pored postojećih mjera koje su dale rezultate i za koje su se sredstva svake godine povećavala, poput biznis ideja u poljoprivredi, podrške povrtarstvu, stočarstvu, pčelarstvu i premija u mljekarstvu, uvođene su i nove mjere podrške te tako Programom za 2025. godinu je predviđeno 19 mjera.</w:t>
      </w:r>
    </w:p>
    <w:p w:rsidR="00E944C2" w:rsidRDefault="00F7666C" w:rsidP="00900D75">
      <w:pPr>
        <w:pStyle w:val="Normal1"/>
        <w:spacing w:before="240" w:after="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dosadašnjih mjera, u narednim godinama odnosno u petogodišnjem periodu planirane su i nove mjere podrške poljoprivredi koje bi dodatno stimulisale mlade poljoprivrednike da ostanu na selu, žene koje se bave poljoprivrednom proizvodnjom i male poljoprivredne proizvođače.</w:t>
      </w:r>
      <w:r w:rsidR="00E944C2" w:rsidRPr="00F7666C">
        <w:rPr>
          <w:rFonts w:ascii="Times New Roman" w:eastAsia="Times New Roman" w:hAnsi="Times New Roman" w:cs="Times New Roman"/>
          <w:sz w:val="24"/>
          <w:szCs w:val="24"/>
        </w:rPr>
        <w:t>Intencija Glavnog grada je da u narednom periodu formira Lokalne akcione grupe (LAG) kao novi mehanizam za postizanje ciljevaupoljoprivredi,kao značajnoj i perpektivnoj djelatnosti.</w:t>
      </w:r>
    </w:p>
    <w:p w:rsidR="00AD30E8" w:rsidRPr="00F7666C" w:rsidRDefault="00AD30E8" w:rsidP="00900D75">
      <w:pPr>
        <w:pStyle w:val="Normal1"/>
        <w:spacing w:before="240" w:after="240" w:line="240" w:lineRule="auto"/>
        <w:jc w:val="both"/>
        <w:rPr>
          <w:rFonts w:ascii="Times New Roman" w:eastAsia="Times New Roman" w:hAnsi="Times New Roman" w:cs="Times New Roman"/>
          <w:sz w:val="24"/>
          <w:szCs w:val="24"/>
        </w:rPr>
      </w:pPr>
    </w:p>
    <w:p w:rsidR="00E944C2" w:rsidRDefault="00E944C2" w:rsidP="00316155">
      <w:pPr>
        <w:pStyle w:val="Heading4"/>
        <w:ind w:left="0" w:firstLine="0"/>
        <w:jc w:val="both"/>
        <w:rPr>
          <w:color w:val="0B5394"/>
        </w:rPr>
      </w:pPr>
    </w:p>
    <w:p w:rsidR="00E944C2" w:rsidRDefault="00F7666C" w:rsidP="00316155">
      <w:pPr>
        <w:pStyle w:val="Heading2"/>
        <w:jc w:val="both"/>
      </w:pPr>
      <w:bookmarkStart w:id="22" w:name="_Toc212039510"/>
      <w:r>
        <w:t>2.5.2. Organska proizvodnja</w:t>
      </w:r>
      <w:bookmarkEnd w:id="22"/>
    </w:p>
    <w:p w:rsidR="00E944C2" w:rsidRDefault="00E944C2" w:rsidP="00316155">
      <w:pPr>
        <w:pStyle w:val="Normal1"/>
        <w:jc w:val="both"/>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Organska poljoprivreda predstavlja jedan od strateških prioriteta razvoja poljoprivrede na teritoriji Glavnog grada Podgorice. U pitanju je noviji oblik poljoprivrede, koja ipak ima duboke korijene u lokalnoj proizvodnji. Generacijama je stanovništvo u ruralnim područjima praktikovalo metode poljoprivrede zasnovane na upotrebi organskih đubriva, rotaciji usjeva i očuvanju biodiverziteta. Podacima sa terena utvrđeno je da su na području Glavnog grada Podgorice zabilježene neznatne površine pod organskom proizvodnjom, uglavnom kroz sektore voćarstva i povrtarstva. Da bi se obezbijedilo povećanje organske proizvodnje i njen razvoj, u narednom periodu biće neophodno veću pažnju posvetiti marketingu organskih proizvoda, kako bi se kroz povećanu prepoznatljivost na tržištu, povećala i njihova tražnja.</w:t>
      </w:r>
    </w:p>
    <w:p w:rsidR="00E944C2" w:rsidRDefault="00F7666C" w:rsidP="00E36C81">
      <w:pPr>
        <w:pStyle w:val="Normal1"/>
        <w:spacing w:line="360" w:lineRule="auto"/>
        <w:jc w:val="both"/>
      </w:pPr>
      <w:r>
        <w:rPr>
          <w:rFonts w:ascii="Times New Roman" w:eastAsia="Times New Roman" w:hAnsi="Times New Roman" w:cs="Times New Roman"/>
          <w:sz w:val="24"/>
          <w:szCs w:val="24"/>
        </w:rPr>
        <w:t>U narednom petogodišnjem periodu neophodno je planirati i uvesti nove mjere od značaja za razvoj organske poljoprivredi na teritoriji Glavnog grada Podgorice, poput očuvanja domaćih sorti, ulaganja u izgradnju, adaptaciju i rekonstrukciju objekata koji služe za organsku poljoprivredu, nabavke sektorske opreme i mehanizacije, dodatna ulaganja u kupovinu organskog sjemenskog i sadnog materijala, kao i ulaganje u javnu ruralnu infrastrukturu (voda, putevi itd.).</w:t>
      </w:r>
    </w:p>
    <w:p w:rsidR="00E944C2" w:rsidRDefault="00F7666C" w:rsidP="00316155">
      <w:pPr>
        <w:pStyle w:val="Heading2"/>
        <w:jc w:val="both"/>
      </w:pPr>
      <w:bookmarkStart w:id="23" w:name="_Toc212039511"/>
      <w:r>
        <w:t>2.6. Turizam i ugostiteljstvo</w:t>
      </w:r>
      <w:bookmarkEnd w:id="23"/>
    </w:p>
    <w:p w:rsidR="00E944C2" w:rsidRDefault="00E944C2" w:rsidP="00E36C81">
      <w:pPr>
        <w:pStyle w:val="Heading3"/>
        <w:spacing w:line="360" w:lineRule="auto"/>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Pozitivni trendovi u turističkom prometu u Podgorici evidentirani su posljednjih godina, kao rezultat niza faktora i aktivnosti sa ciljem dodatne promocije i valorizacije turističke ponude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Statistički i finansijski pokazatelji svjedoče o tome da Podgorica iz godine u godinu postaje sve atraktivnija turistička destinacija.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Prema zvaničnim podacima Glavni grad je za osam mjeseci 2025. godine posjetilo 128.990 turista u kolektivnom smještaju, što je za 3% više u odnosu na posmatrani period 2024. godine.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Ostvarena su 236.696 noćenja, ili 2% više u odnosu na posmatrani period 2024. godine.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Najviše ostvarenih dolazaka za posmatrani period bilo je iz: Kine, Srbije, Izraela, Turske, SAD, Njemačke, Hrvatske, dok su najviše noćenja  ostvarili  gosti iz: Izraela, Kine, Srbije, Turske, SAD, Njemačke i Hrvatske.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Smeštajni i ugostiteljski kapaciteti zaokružuju turističku ponudu Glavnog grada. Smještajna ponuda Podgorice danas je okosnica njegovog turističkog razvoja, pri čemu je najvažnija njegova hotelska ponuda.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Podgorica raspolaže sa smještajnim kapacitetima, u komercijalnim smještajnim objektima,sa 2.835 kreveta. Od tog broja kreveta, koliko ih grad nudi u hotelima, skoro 80% (74,92%) ili 2.124 kreveta je u hotelima najviših kategorija (sa 5 i 4 zvjezdice), dok je 25,08% u hotelima sa 3 zvjezdice. Vezano za privatni smještaj, prema evidenciji Sekretarijata za preduzetništvo i investicije, trenutno je broj izdatih rješenja 425 koji raspolažu sa oko 1.200 ležajeva.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Mnogi prirodni, saobraćajni, infrastrukturni i drugi činioci pogoduju razvoju različitih vidova turističke ponude Glavnog grada. Podgorica je glavni grad Crne Gore, u geografskom i saobraćajnom smislu centralno smješten u odnosu na sve raspoložive tipologije turističkog iskustva države (nizija/vinogradi, planine, primorje, Skadarsko jezero). Širi kontekst saobraćajne situacije i njenog razvoja ukazuje na činjenicu da se u budućem turističkom razvoju Podgorica veoma dominantno mora osloniti na avio dostupnost, dok željeznicu i drumski saobraćaj treba posmatrati u kontekstu inter destinacijskog transporta. Podgorica je grad koji nema izraženu sezonalnost, već je posjećen u kontinuitetu tokom cijele godine. Dominantni profili posjetilaca i turista su poslovni (biznis) i tranzitni turisti. Gradu manjka međunarodno konkurentne turističke infrastrukture za gotovo sve vidove turizma (moderni interpretacijski centri, muzeji novije generacije, kongresni kapaciteti, koncertna dvorana, kreirane rute za pješake i bicikliste...).</w:t>
      </w:r>
    </w:p>
    <w:p w:rsidR="00E944C2" w:rsidRDefault="00E944C2" w:rsidP="00E36C81">
      <w:pPr>
        <w:pStyle w:val="Normal1"/>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11. Broj dolazaka i noćenja u Podgorici , u periodu od avgusta 2022. do 2025. godine</w:t>
      </w:r>
    </w:p>
    <w:tbl>
      <w:tblPr>
        <w:tblStyle w:val="67"/>
        <w:tblW w:w="9340" w:type="dxa"/>
        <w:jc w:val="center"/>
        <w:tblInd w:w="0" w:type="dxa"/>
        <w:tblLayout w:type="fixed"/>
        <w:tblLook w:val="04A0"/>
      </w:tblPr>
      <w:tblGrid>
        <w:gridCol w:w="1893"/>
        <w:gridCol w:w="1899"/>
        <w:gridCol w:w="1733"/>
        <w:gridCol w:w="1950"/>
        <w:gridCol w:w="1865"/>
      </w:tblGrid>
      <w:tr w:rsidR="00E944C2">
        <w:trPr>
          <w:cantSplit/>
          <w:tblHeader/>
          <w:jc w:val="center"/>
        </w:trPr>
        <w:tc>
          <w:tcPr>
            <w:tcW w:w="1893"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Godina</w:t>
            </w:r>
          </w:p>
        </w:tc>
        <w:tc>
          <w:tcPr>
            <w:tcW w:w="1899"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Dolasci</w:t>
            </w:r>
          </w:p>
        </w:tc>
        <w:tc>
          <w:tcPr>
            <w:tcW w:w="1733"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Indeks dolasci</w:t>
            </w:r>
          </w:p>
        </w:tc>
        <w:tc>
          <w:tcPr>
            <w:tcW w:w="1950"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Noćenja</w:t>
            </w:r>
          </w:p>
        </w:tc>
        <w:tc>
          <w:tcPr>
            <w:tcW w:w="1865" w:type="dxa"/>
            <w:tcBorders>
              <w:top w:val="single" w:sz="8" w:space="0" w:color="000000"/>
              <w:left w:val="nil"/>
              <w:bottom w:val="single" w:sz="8" w:space="0" w:color="000000"/>
              <w:right w:val="single" w:sz="8" w:space="0" w:color="000000"/>
            </w:tcBorders>
            <w:tcMar>
              <w:top w:w="0" w:type="dxa"/>
              <w:left w:w="108" w:type="dxa"/>
              <w:bottom w:w="0" w:type="dxa"/>
              <w:right w:w="108" w:type="dxa"/>
            </w:tcMar>
          </w:tcPr>
          <w:p w:rsidR="00E944C2" w:rsidRDefault="00F7666C">
            <w:pPr>
              <w:pStyle w:val="Normal1"/>
              <w:jc w:val="both"/>
            </w:pPr>
            <w:r>
              <w:t>Indeks noćenja</w:t>
            </w:r>
          </w:p>
        </w:tc>
      </w:tr>
      <w:tr w:rsidR="00E944C2">
        <w:trPr>
          <w:cantSplit/>
          <w:tblHeader/>
          <w:jc w:val="center"/>
        </w:trPr>
        <w:tc>
          <w:tcPr>
            <w:tcW w:w="189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2022</w:t>
            </w:r>
          </w:p>
        </w:tc>
        <w:tc>
          <w:tcPr>
            <w:tcW w:w="1899"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159611</w:t>
            </w:r>
          </w:p>
        </w:tc>
        <w:tc>
          <w:tcPr>
            <w:tcW w:w="1733"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173</w:t>
            </w:r>
          </w:p>
        </w:tc>
        <w:tc>
          <w:tcPr>
            <w:tcW w:w="1950"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333311</w:t>
            </w:r>
          </w:p>
        </w:tc>
        <w:tc>
          <w:tcPr>
            <w:tcW w:w="1865"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181</w:t>
            </w:r>
          </w:p>
        </w:tc>
      </w:tr>
      <w:tr w:rsidR="00E944C2">
        <w:trPr>
          <w:cantSplit/>
          <w:tblHeader/>
          <w:jc w:val="center"/>
        </w:trPr>
        <w:tc>
          <w:tcPr>
            <w:tcW w:w="189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2023</w:t>
            </w:r>
          </w:p>
        </w:tc>
        <w:tc>
          <w:tcPr>
            <w:tcW w:w="1899"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181533</w:t>
            </w:r>
          </w:p>
        </w:tc>
        <w:tc>
          <w:tcPr>
            <w:tcW w:w="1733"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113</w:t>
            </w:r>
          </w:p>
        </w:tc>
        <w:tc>
          <w:tcPr>
            <w:tcW w:w="1950"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352123</w:t>
            </w:r>
          </w:p>
        </w:tc>
        <w:tc>
          <w:tcPr>
            <w:tcW w:w="1865"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105</w:t>
            </w:r>
          </w:p>
        </w:tc>
      </w:tr>
      <w:tr w:rsidR="00E944C2">
        <w:trPr>
          <w:cantSplit/>
          <w:tblHeader/>
          <w:jc w:val="center"/>
        </w:trPr>
        <w:tc>
          <w:tcPr>
            <w:tcW w:w="189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2024</w:t>
            </w:r>
          </w:p>
        </w:tc>
        <w:tc>
          <w:tcPr>
            <w:tcW w:w="1899"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189509</w:t>
            </w:r>
          </w:p>
        </w:tc>
        <w:tc>
          <w:tcPr>
            <w:tcW w:w="1733"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104</w:t>
            </w:r>
          </w:p>
        </w:tc>
        <w:tc>
          <w:tcPr>
            <w:tcW w:w="1950"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344491</w:t>
            </w:r>
          </w:p>
        </w:tc>
        <w:tc>
          <w:tcPr>
            <w:tcW w:w="1865"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98</w:t>
            </w:r>
          </w:p>
        </w:tc>
      </w:tr>
      <w:tr w:rsidR="00E944C2">
        <w:trPr>
          <w:cantSplit/>
          <w:tblHeader/>
          <w:jc w:val="center"/>
        </w:trPr>
        <w:tc>
          <w:tcPr>
            <w:tcW w:w="1893" w:type="dxa"/>
            <w:tcBorders>
              <w:top w:val="nil"/>
              <w:left w:val="single" w:sz="8" w:space="0" w:color="000000"/>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2025 (jan-avg)</w:t>
            </w:r>
          </w:p>
        </w:tc>
        <w:tc>
          <w:tcPr>
            <w:tcW w:w="1899"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128,990</w:t>
            </w:r>
          </w:p>
        </w:tc>
        <w:tc>
          <w:tcPr>
            <w:tcW w:w="1733"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103</w:t>
            </w:r>
          </w:p>
        </w:tc>
        <w:tc>
          <w:tcPr>
            <w:tcW w:w="1950"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236,696</w:t>
            </w:r>
          </w:p>
        </w:tc>
        <w:tc>
          <w:tcPr>
            <w:tcW w:w="1865" w:type="dxa"/>
            <w:tcBorders>
              <w:top w:val="nil"/>
              <w:left w:val="nil"/>
              <w:bottom w:val="single" w:sz="8" w:space="0" w:color="000000"/>
              <w:right w:val="single" w:sz="8" w:space="0" w:color="000000"/>
            </w:tcBorders>
            <w:tcMar>
              <w:top w:w="0" w:type="dxa"/>
              <w:left w:w="108" w:type="dxa"/>
              <w:bottom w:w="0" w:type="dxa"/>
              <w:right w:w="108" w:type="dxa"/>
            </w:tcMar>
          </w:tcPr>
          <w:p w:rsidR="00E944C2" w:rsidRDefault="00F7666C" w:rsidP="00E36C81">
            <w:pPr>
              <w:pStyle w:val="Normal1"/>
              <w:jc w:val="both"/>
            </w:pPr>
            <w:r>
              <w:t>102</w:t>
            </w:r>
          </w:p>
        </w:tc>
      </w:tr>
    </w:tbl>
    <w:p w:rsidR="00E944C2" w:rsidRDefault="00F7666C" w:rsidP="00E36C81">
      <w:pPr>
        <w:pStyle w:val="Normal1"/>
        <w:spacing w:after="0"/>
        <w:jc w:val="both"/>
        <w:rPr>
          <w:rFonts w:ascii="Times New Roman" w:eastAsia="Times New Roman" w:hAnsi="Times New Roman" w:cs="Times New Roman"/>
          <w:sz w:val="20"/>
          <w:szCs w:val="16"/>
        </w:rPr>
      </w:pPr>
      <w:r>
        <w:rPr>
          <w:rFonts w:ascii="Times New Roman" w:eastAsia="Times New Roman" w:hAnsi="Times New Roman" w:cs="Times New Roman"/>
          <w:sz w:val="20"/>
          <w:szCs w:val="16"/>
        </w:rPr>
        <w:t>*Navedeni podaci se odnose na kolektivni (hotelski) smještaj</w:t>
      </w:r>
    </w:p>
    <w:p w:rsidR="00E944C2" w:rsidRDefault="00F7666C" w:rsidP="00E36C81">
      <w:pPr>
        <w:pStyle w:val="Normal1"/>
        <w:spacing w:after="0"/>
        <w:jc w:val="both"/>
        <w:rPr>
          <w:rFonts w:ascii="Times New Roman" w:eastAsia="Times New Roman" w:hAnsi="Times New Roman" w:cs="Times New Roman"/>
          <w:sz w:val="20"/>
          <w:szCs w:val="16"/>
        </w:rPr>
      </w:pPr>
      <w:r>
        <w:rPr>
          <w:rFonts w:ascii="Times New Roman" w:eastAsia="Times New Roman" w:hAnsi="Times New Roman" w:cs="Times New Roman"/>
          <w:sz w:val="20"/>
          <w:szCs w:val="16"/>
        </w:rPr>
        <w:t>*Statistika za 2025. godinu odnosi se na period januar-avgust i uporedno je prikazana sa periodom januar-avgust 2024. godine.</w:t>
      </w:r>
    </w:p>
    <w:p w:rsidR="00E944C2" w:rsidRDefault="00E944C2" w:rsidP="00E36C81">
      <w:pPr>
        <w:pStyle w:val="Normal1"/>
        <w:spacing w:after="0"/>
        <w:jc w:val="both"/>
        <w:rPr>
          <w:rFonts w:ascii="Times New Roman" w:eastAsia="Times New Roman" w:hAnsi="Times New Roman" w:cs="Times New Roman"/>
          <w:sz w:val="24"/>
          <w:szCs w:val="24"/>
        </w:rPr>
      </w:pPr>
    </w:p>
    <w:p w:rsidR="00E944C2" w:rsidRDefault="00E944C2" w:rsidP="00E36C81">
      <w:pPr>
        <w:pStyle w:val="Normal1"/>
        <w:spacing w:after="0"/>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Grafik broj 1.  Dolasci i noćenja za period 2022-2024. godine</w:t>
      </w: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957570" cy="3200400"/>
            <wp:effectExtent l="0" t="0" r="0" b="0"/>
            <wp:docPr id="31" name="image19.png"/>
            <wp:cNvGraphicFramePr/>
            <a:graphic xmlns:a="http://schemas.openxmlformats.org/drawingml/2006/main">
              <a:graphicData uri="http://schemas.openxmlformats.org/drawingml/2006/picture">
                <pic:pic xmlns:pic="http://schemas.openxmlformats.org/drawingml/2006/picture">
                  <pic:nvPicPr>
                    <pic:cNvPr id="31" name="image19.png"/>
                    <pic:cNvPicPr preferRelativeResize="0"/>
                  </pic:nvPicPr>
                  <pic:blipFill>
                    <a:blip r:embed="rId9" cstate="print"/>
                    <a:srcRect/>
                    <a:stretch>
                      <a:fillRect/>
                    </a:stretch>
                  </pic:blipFill>
                  <pic:spPr>
                    <a:xfrm>
                      <a:off x="0" y="0"/>
                      <a:ext cx="5957888" cy="3200400"/>
                    </a:xfrm>
                    <a:prstGeom prst="rect">
                      <a:avLst/>
                    </a:prstGeom>
                  </pic:spPr>
                </pic:pic>
              </a:graphicData>
            </a:graphic>
          </wp:inline>
        </w:drawing>
      </w:r>
    </w:p>
    <w:p w:rsidR="00E944C2" w:rsidRDefault="00F7666C" w:rsidP="00E36C81">
      <w:pPr>
        <w:pStyle w:val="Normal1"/>
        <w:spacing w:line="360" w:lineRule="auto"/>
        <w:jc w:val="both"/>
        <w:rPr>
          <w:rFonts w:ascii="Times New Roman" w:eastAsia="Times New Roman" w:hAnsi="Times New Roman" w:cs="Times New Roman"/>
          <w:i/>
          <w:sz w:val="20"/>
          <w:szCs w:val="20"/>
        </w:rPr>
      </w:pPr>
      <w:r>
        <w:rPr>
          <w:rFonts w:ascii="Times New Roman" w:eastAsia="Times New Roman" w:hAnsi="Times New Roman" w:cs="Times New Roman"/>
          <w:i/>
          <w:sz w:val="20"/>
          <w:szCs w:val="20"/>
        </w:rPr>
        <w:t>Izvor: Turistička organizacija Podgorica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većini mjeseci, tokom kalendarske godine, Podgorica ostvaruje veći turistički promet u odnosu na ostale gradove. Iskorišćavanje potencijala Podgorice kao turističke destinacije zahtijeva mnogo čvršće povezivanje nadležnih organa uprave Glavnog grada, države, Turističke organizacije Podgorice i Nacionalne turističke organizacije međusobno, ali i s turističkim organizacijama drugih opština, prekograničnu saradnju, te veća sredstva za promociju glavnog grada.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razvojem novih hotelskih kapaciteta i prisustvom svjetskih hotelskih brendova Podgorica se može profilisati kao kongresni ili MICE centar (Meetings, Incentives, Conferencing, Exhibitions). Izgradnjom novih, visokokvalitetnih hotelskih kapaciteta i dovođenjem svjetski poznatih brendova poput „Hilton”, „IHG” (Crowne Plaza I Voco), „Hard Rock Caffe”,”Burger King”, “KFC” obogaćena je ponuda u tom segmentu, i unaprijeđeni su kapaciteti kongresne ponude.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Uopšte, razvoj Podgorice prati povećanje hotelsko-turističkih kapaciteta koji zadovoljavaju visoke standarde. Takodje Podgorica danas raspolaže sa  1738 ugostiteljskih objekata.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Ukupan promet koji ostvaruje sektor turizma i ugostiteljstva bez povezanih djelatnosti u glavnom gradu je 314 657 000 eura odnosno 6,3 % prometa dok je budzet službe dominantno zadužene za promociju turizma u 2024. godini iznosio 0.6 % ukupnog budžeta grada.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Neophodno je alocirati više sredstava za turističku infrastrukturu i promociju turizma u glavnom gradu.</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Kada govorimo o potencijalima za razvoj određenih vidova turizma u Podgorici, oni se baziraju na ključnim resursima i atrakcijskim osnovama koji se ogledaju u isticanju i očuvanju bogatstva kulturnog nasljedja, prirodnim atrakcijama, prepoznatom vinogradarskom regionu, što pogoduje razvoju selektivnih oblika turizma i formama aktivnog odmora, uvezujući urbano područje i zaleđe grada. U okruženju grada nalaze se značajne turističke atrakcije (Vinogradski kompleks, NP Skadarsko jezero, Park prirode Komovi, arheološki lokaliteti Medun i Duklja i povezani sadržaji) koje još nisu u potpunosti uvezane u turističke proizvode, i ne na način koji bi omogućio laku komercijalizaciju prema najboljim praksama globalnih turističkih destinacija.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Turistički promet Podgorice je u prethodnom periodu rastao u skladu sa mediteranskim trendovima, ali više kao posljedica rasta poslovnih gostiju koji se dijelom mogu povezati i sa turističkim razvojnim procesima u planinama i primorju.</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Jedan od glavnih izazova Glavnog grada jeste neadekvatno valorizovano bogato kulturno-istorijsko nasledje i nedovoljna turistička ponuda. Nedovoljno su razvijeni selektivni vidovi turizma, kao što su turizam zasnovan na prirodi, seoski turizam, kulturni turizam, i dr.</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cilju održive valorizacije prostora neophodno je prilikom donošenja prostorno planskih dokumenta voditi računa o upravljanju prirodnim i kulturnim resursima, kao i zaštićenim područjima.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tom pravcu treba preuzeti sljedeće aktivnosti:</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unapređenje turističke infrastrukture;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unapređenje kvaliteta postojećih smještajnih kapaciteta i izgradnju novih;</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povezivnje turizma i poljoprivrede (Agroturizam)</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turističku valorizaciju kulturnog nasljeđa;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diverzifikacija turističke ponude i produženje sezone;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povećanje broja kvalifikovanog kadra;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razvoj kulturnog turizma;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razvoj kongresnog turizma;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promocija turističke ponude sa akcentom na online promociju;</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poboljšanje avio i druge dostupnosti;</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unapređenje prateće infrastrukture (vodosnabdijevanje, otpadne vode, čvrsti otpad, putna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infrastruktura, električna energija, parking);</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rješavanje problema nečistoće;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suzbijanje sive ekonomije;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unapređenje turističke infrastrukture (novi sadržaji, kultura i sport, manifestacije,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događaji i dr.);</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unapređenje svijesti o važnosti i koristima od turizma među stanovništvom</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(tradicionalne usluge i proizvodi, vinarije ...).</w:t>
      </w:r>
    </w:p>
    <w:p w:rsidR="000F43B7" w:rsidRDefault="000F43B7">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2"/>
        <w:jc w:val="both"/>
      </w:pPr>
      <w:bookmarkStart w:id="24" w:name="_Toc212039512"/>
      <w:r>
        <w:t>2.7. Trgovina i zanatstvo</w:t>
      </w:r>
      <w:bookmarkEnd w:id="24"/>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posljednjih nekoliko godina, sektor trgovine u Glavnom gradu bilježi značajan rast, što se može pripisati porastu populacije, kao i povećanom prilivu turista. Ovaj trend ukazuje na sve veći ekonomski potencijal grada, koji postaje atraktivna destinacija kako za domaće potrošače, tako i za međunarodne posjetioce.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Ukupan broj aktivnih trgovinskih objekata na kraju decembra 2023. godine bio je 5.757, dok je na kraju decembra 2022. godine broj aktivnih trgovinskih objekata bio 5.197. Krajem 2021. godine njihov ukupan broj je bio 4.731, što znači da je u periodu decembar 2021 – decembar 2023. godine broj aktivnih trgovinskih objekata na nivou Glavnog grada uvećan za 22%</w:t>
      </w:r>
      <w:r>
        <w:rPr>
          <w:rFonts w:ascii="Times New Roman" w:eastAsia="Times New Roman" w:hAnsi="Times New Roman" w:cs="Times New Roman"/>
          <w:sz w:val="24"/>
          <w:szCs w:val="24"/>
          <w:vertAlign w:val="superscript"/>
        </w:rPr>
        <w:footnoteReference w:id="1"/>
      </w:r>
      <w:r>
        <w:rPr>
          <w:rFonts w:ascii="Times New Roman" w:eastAsia="Times New Roman" w:hAnsi="Times New Roman" w:cs="Times New Roman"/>
          <w:sz w:val="24"/>
          <w:szCs w:val="24"/>
        </w:rPr>
        <w:t>. Dok je broj aktivnih trgovinskih objekata zaključno na 31.07.2024. godine bio 6.272</w:t>
      </w:r>
      <w:r>
        <w:rPr>
          <w:rFonts w:ascii="Times New Roman" w:eastAsia="Times New Roman" w:hAnsi="Times New Roman" w:cs="Times New Roman"/>
          <w:sz w:val="24"/>
          <w:szCs w:val="24"/>
          <w:vertAlign w:val="superscript"/>
        </w:rPr>
        <w:footnoteReference w:id="2"/>
      </w:r>
      <w:r>
        <w:rPr>
          <w:rFonts w:ascii="Times New Roman" w:eastAsia="Times New Roman" w:hAnsi="Times New Roman" w:cs="Times New Roman"/>
          <w:sz w:val="24"/>
          <w:szCs w:val="24"/>
        </w:rPr>
        <w:t>.</w:t>
      </w:r>
    </w:p>
    <w:p w:rsidR="00E944C2" w:rsidRDefault="00F7666C" w:rsidP="00E36C81">
      <w:pPr>
        <w:pStyle w:val="Normal1"/>
        <w:tabs>
          <w:tab w:val="left" w:pos="1113"/>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zanatstva na području Podgorice je posebno izražen posljednjih nekoliko godina. Tako je broj aktivnih zanatskih objekata na kraju decembra 2023. godine iznosio 1.744, dok je na kraju decembra 2022. godine broj aktivnih zanatskih objekata bio 1.534, na kraju decembra 2021. godine 1369, što znači da je u periodu decembar 2021 – decembar 2023. godine broj aktivnih zanatskih objekata na području Podgorice uvećan za 27,40%</w:t>
      </w:r>
      <w:r>
        <w:rPr>
          <w:rFonts w:ascii="Times New Roman" w:eastAsia="Times New Roman" w:hAnsi="Times New Roman" w:cs="Times New Roman"/>
          <w:sz w:val="24"/>
          <w:szCs w:val="24"/>
          <w:vertAlign w:val="superscript"/>
        </w:rPr>
        <w:footnoteReference w:id="3"/>
      </w:r>
      <w:r>
        <w:rPr>
          <w:rFonts w:ascii="Times New Roman" w:eastAsia="Times New Roman" w:hAnsi="Times New Roman" w:cs="Times New Roman"/>
          <w:sz w:val="24"/>
          <w:szCs w:val="24"/>
        </w:rPr>
        <w:t>. Dok je broj aktivnih zanatskih objekata na 31.07.2024.godine bio 1931</w:t>
      </w:r>
      <w:r>
        <w:rPr>
          <w:rFonts w:ascii="Times New Roman" w:eastAsia="Times New Roman" w:hAnsi="Times New Roman" w:cs="Times New Roman"/>
          <w:sz w:val="24"/>
          <w:szCs w:val="24"/>
          <w:vertAlign w:val="superscript"/>
        </w:rPr>
        <w:footnoteReference w:id="4"/>
      </w:r>
      <w:r>
        <w:rPr>
          <w:rFonts w:ascii="Times New Roman" w:eastAsia="Times New Roman" w:hAnsi="Times New Roman" w:cs="Times New Roman"/>
          <w:sz w:val="24"/>
          <w:szCs w:val="24"/>
        </w:rPr>
        <w:t xml:space="preserve">. </w:t>
      </w:r>
    </w:p>
    <w:p w:rsidR="00E944C2" w:rsidRDefault="00F7666C" w:rsidP="00E36C81">
      <w:pPr>
        <w:pStyle w:val="Normal1"/>
        <w:tabs>
          <w:tab w:val="left" w:pos="1113"/>
        </w:tabs>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Tradicionalne zanatske vještine doživljavaju renesansu, dok se sve više mladih odlučuje za očuvanje ovog nasljeđa kroz inovativne pristupe i modernizaciju tehnika. Glavni grad je prepoznao značaj zanatstva, te je u posljednje vrijeme uveo finansijsku podršku za stare zanate, što je rezultiralo time da je u 2023. godini podržano 16 zanata ukupnim iznosom od 28.300,00 eura. U 2024. godini Budžetom Glavnog grada izdvojeno je za podršku starim zanatima 50.000,00 eura. </w:t>
      </w:r>
    </w:p>
    <w:p w:rsidR="00E944C2" w:rsidRDefault="00F7666C" w:rsidP="00316155">
      <w:pPr>
        <w:pStyle w:val="Heading2"/>
        <w:jc w:val="both"/>
      </w:pPr>
      <w:bookmarkStart w:id="25" w:name="_Toc212039513"/>
      <w:r>
        <w:t>2.8. Investicije</w:t>
      </w:r>
      <w:bookmarkEnd w:id="25"/>
    </w:p>
    <w:p w:rsidR="00E944C2" w:rsidRDefault="00E944C2" w:rsidP="00E36C81">
      <w:pPr>
        <w:pStyle w:val="Heading4"/>
        <w:spacing w:line="360" w:lineRule="auto"/>
        <w:jc w:val="both"/>
        <w:rPr>
          <w:b/>
          <w:color w:val="1155CC"/>
        </w:rPr>
      </w:pPr>
      <w:bookmarkStart w:id="26" w:name="_vcairflsgw14" w:colFirst="0" w:colLast="0"/>
      <w:bookmarkEnd w:id="26"/>
    </w:p>
    <w:p w:rsidR="00E944C2" w:rsidRDefault="00F7666C" w:rsidP="00E36C81">
      <w:pPr>
        <w:pStyle w:val="Normal1"/>
        <w:spacing w:line="360" w:lineRule="auto"/>
        <w:jc w:val="both"/>
        <w:rPr>
          <w:rFonts w:ascii="Times New Roman" w:eastAsia="Times New Roman" w:hAnsi="Times New Roman" w:cs="Times New Roman"/>
          <w:sz w:val="24"/>
          <w:szCs w:val="24"/>
        </w:rPr>
      </w:pPr>
      <w:bookmarkStart w:id="27" w:name="_tpwemoewiqu1" w:colFirst="0" w:colLast="0"/>
      <w:bookmarkEnd w:id="27"/>
      <w:r>
        <w:rPr>
          <w:rFonts w:ascii="Times New Roman" w:eastAsia="Times New Roman" w:hAnsi="Times New Roman" w:cs="Times New Roman"/>
          <w:sz w:val="24"/>
          <w:szCs w:val="24"/>
        </w:rPr>
        <w:t>Grad intenzivno radi na poboljšanju infrastrukturnih kapaciteta, uključujući izgradnju i modernizaciju vodovodne i kanalizacione mreže. Postoji znatan interes domaćih i stranih investitora za ulaganje u Podgoricu, posebno u sektore kao što su energetika, nove tehnologije i turizam.</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Podgorica sprovodi kontinuirane aktivnosti na unapređenju poslovnog ambijenta i stvaranja uslova za razvoj preduzetništva i privlačenje investicija na teritoriji lokalne samouprave, a sve u cilju otvaranja novih radnih mjesta, zapošljavanja, pospješivanja i usmjeravanja sveukupnog razvoja Podgorice. U ovom pravcu se vrše i aktivnosti na analizi, identifikovanju i aktiviranju zona za razvoj, kako su definisane važećom planskom dokumentacijom. Povoljna okolnost jeste što značajnim prostorima predviđenim za razvoj djelatnosti raspolaže Glavni grad, a iste karakteriše izuzetna saobraćajna i infrastrukturna povezanost, kako, sa drugim djelovima grada, tako i sa značajnim regionalnim i međunarodnim saobraćajnim centrima. Uzimajući u obzir ove činjenice, namjera Glavnog grada Podgorice jeste da aktivira ove prostore, uz uključivanje svih relevatnih domaćih i međunarodnih partnera iz oblasti preduzetništva, proizvodnje, biznisa, poslovnih, komercijalnih i drugih sličnih djelatnosti.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Vlada Crne Gore je u toku 2020. i 2021. godine donijela planske dokumente za prostor oko Kombinata aluminijuma i Jugozapadne obilaznice, koji obuhvataju područja zapadno od magistralnog pravca M2. Od dana usvajanja ovih planova, ova područja karakteriše intezivan razvoj, a dominatno izgradnja poslovnih, skladišnih i robno-distributivnih objekata. Međutim, najznačajni potenicjali za razvoj su locirani istočno od pomenutog magistralnog pravca.  Sjeverno od ove zone, a bliže gradu, se nalazi zona planiranih centralnih djelatnosti u kontaktu naselja Zelenika. Potencijal ove zone za razvoj centralnih djelatnosti je izuzetan, obzirom da se radi o prostoru površine od oko 30ha. Cilj izrade Lokalne studije lokacije je osnivanje Centralni biznis distrikt-a (CBD) na površini od minimum 300,000 metara kvadratnih u Podgorici kao ključno poslovno sjedište grada, koje će:</w:t>
      </w:r>
    </w:p>
    <w:p w:rsidR="00E944C2" w:rsidRDefault="00F7666C" w:rsidP="00E36C81">
      <w:pPr>
        <w:pStyle w:val="Normal1"/>
        <w:numPr>
          <w:ilvl w:val="0"/>
          <w:numId w:val="3"/>
        </w:numPr>
        <w:spacing w:after="0" w:line="360" w:lineRule="auto"/>
        <w:jc w:val="both"/>
        <w:rPr>
          <w:color w:val="000000"/>
          <w:sz w:val="24"/>
          <w:szCs w:val="24"/>
        </w:rPr>
      </w:pPr>
      <w:r>
        <w:rPr>
          <w:rFonts w:ascii="Times New Roman" w:eastAsia="Times New Roman" w:hAnsi="Times New Roman" w:cs="Times New Roman"/>
          <w:color w:val="000000"/>
          <w:sz w:val="24"/>
          <w:szCs w:val="24"/>
        </w:rPr>
        <w:t>Privući kompanije, poboljšati poslovnu klimu za nove i postojeće investicije, podstaći ekonomski razvoj grada, stvoriti radna mjesta i poboljšati urbani pejzaž;</w:t>
      </w:r>
    </w:p>
    <w:p w:rsidR="00E944C2" w:rsidRDefault="00F7666C" w:rsidP="00E36C81">
      <w:pPr>
        <w:pStyle w:val="Normal1"/>
        <w:numPr>
          <w:ilvl w:val="0"/>
          <w:numId w:val="3"/>
        </w:numPr>
        <w:spacing w:after="0" w:line="360" w:lineRule="auto"/>
        <w:jc w:val="both"/>
        <w:rPr>
          <w:color w:val="000000"/>
          <w:sz w:val="24"/>
          <w:szCs w:val="24"/>
        </w:rPr>
      </w:pPr>
      <w:r>
        <w:rPr>
          <w:rFonts w:ascii="Times New Roman" w:eastAsia="Times New Roman" w:hAnsi="Times New Roman" w:cs="Times New Roman"/>
          <w:color w:val="000000"/>
          <w:sz w:val="24"/>
          <w:szCs w:val="24"/>
        </w:rPr>
        <w:t>Kreirati moderno poslovno okruženje koje će podržavati rast poslovanja, investicije, inovacije i ekonomski prosperitet grada.</w:t>
      </w:r>
    </w:p>
    <w:p w:rsidR="00E944C2" w:rsidRDefault="00E944C2" w:rsidP="00E36C81">
      <w:pPr>
        <w:pStyle w:val="Normal1"/>
        <w:spacing w:after="0" w:line="276" w:lineRule="auto"/>
        <w:ind w:left="720"/>
        <w:jc w:val="both"/>
        <w:rPr>
          <w:rFonts w:ascii="Times New Roman" w:eastAsia="Times New Roman" w:hAnsi="Times New Roman" w:cs="Times New Roman"/>
          <w:sz w:val="24"/>
          <w:szCs w:val="24"/>
        </w:rPr>
      </w:pPr>
    </w:p>
    <w:p w:rsidR="00E944C2" w:rsidRDefault="00F7666C" w:rsidP="00316155">
      <w:pPr>
        <w:pStyle w:val="Heading2"/>
        <w:jc w:val="both"/>
        <w:rPr>
          <w:highlight w:val="white"/>
        </w:rPr>
      </w:pPr>
      <w:bookmarkStart w:id="28" w:name="_Toc212039514"/>
      <w:r>
        <w:rPr>
          <w:highlight w:val="white"/>
        </w:rPr>
        <w:t>2.9. Prostorno planska dokumentacija</w:t>
      </w:r>
      <w:bookmarkEnd w:id="28"/>
    </w:p>
    <w:p w:rsidR="00E944C2" w:rsidRDefault="00E944C2" w:rsidP="00316155">
      <w:pPr>
        <w:pStyle w:val="Normal1"/>
        <w:jc w:val="both"/>
        <w:rPr>
          <w:highlight w:val="white"/>
        </w:rPr>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Izrada prostorno-planske dokumentacije predstavlja temeljni instrument prostornog i urbanog razvoja Glavnog grada. Kvalitetno izrađen planski okvir omogućava uravnotežen pristup organizaciji prostora, prepoznavanje njegovih potencijala i unapređenje kvaliteta života stanovnika, obezbjeđujući racionalno korišćenje resursa i očuvanje prirodnih i kulturnih vrijednosti.</w:t>
      </w:r>
    </w:p>
    <w:p w:rsidR="00E944C2" w:rsidRDefault="00E944C2" w:rsidP="00E36C81">
      <w:pPr>
        <w:pStyle w:val="Normal1"/>
        <w:spacing w:before="240" w:after="240" w:line="360" w:lineRule="auto"/>
        <w:jc w:val="both"/>
        <w:rPr>
          <w:rFonts w:ascii="Times New Roman" w:eastAsia="Times New Roman" w:hAnsi="Times New Roman" w:cs="Times New Roman"/>
          <w:sz w:val="24"/>
          <w:szCs w:val="24"/>
          <w:highlight w:val="white"/>
        </w:rPr>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Novi Zakon o uređenju prostora („Službeni list CG“, br. 19/25 i 28/25) vratio je izradu planske dokumentacije u nadležnost lokalnih samouprava i uveo obavezu osnivanja Agencije za izradu lokalnih planskih dokumenata. Agencija će biti osnovana do kraja 2025. godine, a njene ključne nadležnosti biće: priprema, izrada i sprovođenje lokalnih planskih akata, vođenje digitalne evidencije i koordinacija sa organima državne uprave u oblasti prostornog planiranja.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skladu sa Zakonom o izgradnji objekata („Službeni list CG“, br. 19/25), prostorno-planska dokumentacija predstavlja osnov za izdavanje akata o izgradnji, čime se obezbjeđuje dosljedna veza između planiranja, projektovanja i sprovođenja investicija. Zakon podrazumijeva digitalizaciju i objedinjavanje prostornih podataka u jedinstvenu Nacionalnu bazu planske dokumentacije, što doprinosi većoj transparentnosti i efikasnosti.</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Shodno odredbama Zakona planirano je da se tokom 2026. godine otpočne izrada novog Prostorno-urbanističkog plana Glavnog grada Podgorice, koji će obuhvatiti isključivo teritoriju Glavnog grada, jer su Zeta i Tuzi postale samostalne opštine. Novi PUP će biti izrađen po principima integralnog planiranja, sa fokusom na racionalno korišćenje prostora, unapređenje infrastrukture, zelene i javne površine, održivu mobilnost i prilagođavanje klimatskim promjenama.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Uspostavljanjem novog planskog sistema, Detaljni urbanistički planovi (DUP) i Urbanistički projekti (UP) više nijesu prepoznati kao važeći instrumenti, već ih zamjenjuju Lokalni planovi detaljne regulacije (LPDR). Izrada LPDR-ova biće pokrenuta nakon usvajanja novog PUP-a, čime se omogućava veća fleksibilnost i bolja povezanost između strateških i operativnih planova.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Osnovni ciljevi prostorno-planske dokumentacije su:</w:t>
      </w:r>
    </w:p>
    <w:p w:rsidR="00E944C2" w:rsidRDefault="00F7666C" w:rsidP="00E36C81">
      <w:pPr>
        <w:pStyle w:val="Normal1"/>
        <w:spacing w:before="240" w:after="240" w:line="360" w:lineRule="auto"/>
        <w:ind w:left="1080" w:hanging="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1.Unapređenje kvaliteta života i održivog razvoja – Ravnomjeran teritorijalni razvoj, dostupna i humana naselja, zelena infrastruktura i očuvanje identiteta predjela doprinose stvaranju zdravijeg i otpornijeg urbanog okruženja.</w:t>
      </w:r>
    </w:p>
    <w:p w:rsidR="00E944C2" w:rsidRDefault="00F7666C" w:rsidP="00E36C81">
      <w:pPr>
        <w:pStyle w:val="Normal1"/>
        <w:spacing w:before="240" w:after="240" w:line="360" w:lineRule="auto"/>
        <w:ind w:left="1080" w:hanging="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2.Valorizacija prostornih potencijala – Usklađeno planiranje sa propisima iz oblasti zaštite životne sredine, kulturne baštine, turizma, poljoprivrede i vodoprivrede omogućava prepoznavanje razvojnih potencijala na teritoriji Glavnog grada.</w:t>
      </w:r>
    </w:p>
    <w:p w:rsidR="00E944C2" w:rsidRDefault="00F7666C" w:rsidP="00E36C81">
      <w:pPr>
        <w:pStyle w:val="Normal1"/>
        <w:spacing w:before="240" w:after="240" w:line="360" w:lineRule="auto"/>
        <w:ind w:left="1080" w:hanging="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3.Efikasna organizacija prostora – Jasno definisanje namjene i načina korišćenja prostora (stambene, privredne, rekreativne, infrastrukturne zone) obezbjeđuje kontrolisan i održiv rast.</w:t>
      </w:r>
    </w:p>
    <w:p w:rsidR="00E944C2" w:rsidRDefault="00F7666C" w:rsidP="00E36C81">
      <w:pPr>
        <w:pStyle w:val="Normal1"/>
        <w:spacing w:before="240" w:after="240" w:line="360" w:lineRule="auto"/>
        <w:ind w:left="1080" w:hanging="36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4.Klimatska otpornost i zelena tranzicija – Novi planovi obavezno integrišu ciljeve održivog razvoja (SDG 11, 13 i 16), promovišu energetski efikasnu izgradnju, kružnu ekonomiju i otpornost na klimatske rizike.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cilju transparentnosti i efikasnog upravljanja prostorom, novi i revidirani planski dokumenti će se usklađivati i objavljivati u okviru Nacionalne baze planske dokumentacije, kojom upravlja Ministarstvo prostornog planiranja. Na taj način obezbjeđuje se jedinstven pristup prostornim podacima na državnom nivou, kao i njihova dostupnost građanima, investitorima i stručnim institucijama.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Jedan od ključnih izazova prostornog razvoja Glavnog grada ostaje neplanska izgradnja. Novi Zakon o legalizaciji bespravnih objekata („Službeni list CG“, br. 91/25) predviđa da se svi započeti postupci legalizacije koji nijesu okončani nastave po novom zakonu ako je to povoljnije za stranku. Nadležni organ lokalne samouprave će po službenoj dužnosti provjeriti ispunjenost uslova i nastaviti postupke u skladu s novim propisima.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Efikasno sprovođenje ovih zakonskih rješenja zahtijeva: redovno ažuriranje i izradu novih planskih dokumenata, unapređenje međuinstitucionalne saradnje, jačanje kapaciteta planerskih institucija i digitalnih servisa, te kontinuiranu edukaciju građana o značaju planskog razvoja i legalizacije.</w:t>
      </w:r>
    </w:p>
    <w:p w:rsidR="00E944C2" w:rsidRDefault="00F7666C" w:rsidP="00E36C81">
      <w:pPr>
        <w:pStyle w:val="Normal1"/>
        <w:spacing w:before="240" w:after="20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Prostor Glavnog grada obuhvata 1.508 km² i trenutno je veći dio urbanog područja pokriveno planskim dokumentima detaljne razrade. Prioritet u narednom periodu biće pokrivanje neplanski razvijenih cjelina i ažuriranje zastarjelih dokumenata. Na taj način uspostavlja se planski okvir koji povezuje zakonske reforme, institucionalno jačanje i principe održivog razvoja, čime se obezbjeđuje dugoročno održivo i transparentno upravljanje prostorom Podgorice.</w:t>
      </w:r>
    </w:p>
    <w:p w:rsidR="00E944C2" w:rsidRDefault="00E944C2" w:rsidP="00E36C81">
      <w:pPr>
        <w:pStyle w:val="Normal1"/>
        <w:spacing w:after="200" w:line="360" w:lineRule="auto"/>
        <w:jc w:val="both"/>
        <w:rPr>
          <w:rFonts w:ascii="Times New Roman" w:eastAsia="Times New Roman" w:hAnsi="Times New Roman" w:cs="Times New Roman"/>
          <w:sz w:val="24"/>
          <w:szCs w:val="24"/>
          <w:highlight w:val="yellow"/>
        </w:rPr>
      </w:pPr>
    </w:p>
    <w:p w:rsidR="00E944C2" w:rsidRDefault="00E944C2">
      <w:pPr>
        <w:pStyle w:val="Normal1"/>
        <w:spacing w:after="200" w:line="360" w:lineRule="auto"/>
        <w:jc w:val="both"/>
        <w:rPr>
          <w:rFonts w:ascii="Times New Roman" w:eastAsia="Times New Roman" w:hAnsi="Times New Roman" w:cs="Times New Roman"/>
          <w:sz w:val="24"/>
          <w:szCs w:val="24"/>
          <w:highlight w:val="yellow"/>
        </w:rPr>
      </w:pPr>
    </w:p>
    <w:p w:rsidR="00E944C2" w:rsidRDefault="00F7666C" w:rsidP="00316155">
      <w:pPr>
        <w:pStyle w:val="Heading2"/>
        <w:jc w:val="both"/>
        <w:rPr>
          <w:b/>
          <w:highlight w:val="white"/>
        </w:rPr>
      </w:pPr>
      <w:bookmarkStart w:id="29" w:name="_Toc212039515"/>
      <w:r>
        <w:rPr>
          <w:highlight w:val="white"/>
        </w:rPr>
        <w:t>2.10. Komunalna infrastruktura</w:t>
      </w:r>
      <w:bookmarkEnd w:id="29"/>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Normalno funkcionisanje jednog grada nemoguće je bez postojanja odgovarajuće komunalne infrastrukture. Mijenjanjem uslova života i rada kao i rastom broja stanovnika uslovljava se adekvatno stanje i permanentno proširenje i modernizacija komunalnih sistema. Komunalne sisteme čini mreža gradskih puteva, vodovoda, kanalizacije, elektro mreže, hortikulturnih sadržaja, telekomunikacijskih objekata i dr. koji često zahtijevaju velika investiciona ulaganja pa čak i 30-35% više od opštih investicionih ulaganja. Mreže se najčešće polažu ispod površine terena u pojedinačno pripremljene kanale koji leže u trupu gradskih ulica čine tkz “podzemni urbanizam”. Zbog sve većeg broja instalacija, kao i radi njihovog proširenja i rekonstrukcije, odnosno modernizacije, veoma je bitno formirati uvezani katastar podzemnih instalacija (koje posjeduju nadležna preduzeća) radi eventualnih preklapanja a koje bi bile dostupne svim gradskim preduzećima.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Preduslov za izgradnju saobraćajnica sa pratećom infrastrukturom (po usvojenim Glavnim projektima) su prethodno riješeni imovinsko - pravni odnosi, što predstavlja ozbiljne izazove i utiče na stepen komunalne opremljenosti Glavnog grada.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Obzirom da na nivou Glavnog grada imamo zone gdje je izražena ekspanzija građenja (Zabjelo, Titex, Stari Aerodrom, Radoje Dakić, Gornja Gorica, Donja Gorica, Naselje 1.maj i drugi), potrebno je dati akcenat na rešavanju imovinsko - pravnih odnosa kako bi se na vrijeme izvršilo komunalno opremanje Investitora koji su izmirili naknade po osnovu Ugovora o komunalnom opremanju građevinskog zemljišta.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Takođe, potrebno je napraviti analizu saobraćaja i izdovjiti saobraćajnice koje predstavljaju uska grla naselja (Iva Vizina, Ksenje Cicvarić, Vaka Đurovića, II crnogorskog bataljona i druge) i fokusirati se na njihovoj realizaciji kako bi se postupak opremanja pristupnih saobraćajnica značajno olakšao.</w:t>
      </w:r>
    </w:p>
    <w:p w:rsidR="00E944C2" w:rsidRDefault="00F7666C" w:rsidP="00E36C81">
      <w:pPr>
        <w:pStyle w:val="Normal1"/>
        <w:spacing w:before="240" w:after="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Shodno studiji uređenja prostora i regulaciji saobraćaja za centralno gradsko jezgro pokrenute su aktivnosti na rekonstrukciji saobraćajnica, pa je tako jedan dio saobraćajnica rekonstruisan, u toku je rekonstrukcija Ulice Slobode dok je u planu rekonstrukcija nastavka Vučedolske ulice (od Njegoševe do Ulice Slobode), dio Bokeške ulice (Od Njegoševe do Ulice Slobode) i Ulice Slobode (od Vučedolske do Hotela Hilton). Navedena urbana zona integriše i kontaktira, pored sadržaja u njoj samoj, sve navedene pored kojih se prostire. U pomenutoj zoni koja je predmet posebnog tretmana, dominiraju objekti centralne djelatnosti u administrativnom, poslovno – trgovačkom, kulturnom i drugom obliku jer u sebi sadrže prostore trgova (poluotvorenih i otvorenih) i reprezentativnih objekata. Cilj rekonstrukcije i uređenja ovog prostora je potreba za afirmacijom ukupnog prostora Nove Varoši kao naslijeđenog značajnog gradskog centra.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starom gradskom jezgru skoro sve saobraćajnice su rekonstruisane u tradicionalnom stilu. U toku je rekonstrukciju jednog od značajnih kulturno istorijskih objekata, Tamnice Jusovača, kao i izrada Glavnog projekta rekonstrukcije trga sa podzemnom garažom ispred autobuske i željezničke stanice koji predstavlja saobraćajno čvorište koje duži vremenski period vapi za uređenjem.</w:t>
      </w:r>
    </w:p>
    <w:p w:rsidR="00E944C2" w:rsidRDefault="00F7666C" w:rsidP="00316155">
      <w:pPr>
        <w:pStyle w:val="Normal1"/>
        <w:spacing w:before="240" w:after="0" w:line="276" w:lineRule="auto"/>
        <w:jc w:val="both"/>
        <w:rPr>
          <w:rFonts w:ascii="Times New Roman" w:eastAsia="Times New Roman" w:hAnsi="Times New Roman" w:cs="Times New Roman"/>
          <w:i/>
          <w:sz w:val="24"/>
          <w:szCs w:val="24"/>
          <w:highlight w:val="white"/>
        </w:rPr>
      </w:pPr>
      <w:r>
        <w:rPr>
          <w:rFonts w:ascii="Times New Roman" w:eastAsia="Times New Roman" w:hAnsi="Times New Roman" w:cs="Times New Roman"/>
          <w:sz w:val="24"/>
          <w:szCs w:val="24"/>
          <w:highlight w:val="white"/>
        </w:rPr>
        <w:t>Tabela 12.Pregled sredstava za saobraćajnu infrastrukturu</w:t>
      </w:r>
    </w:p>
    <w:p w:rsidR="00E944C2" w:rsidRDefault="00E944C2" w:rsidP="00E36C81">
      <w:pPr>
        <w:pStyle w:val="Normal1"/>
        <w:spacing w:before="240" w:after="0" w:line="276" w:lineRule="auto"/>
        <w:jc w:val="both"/>
        <w:rPr>
          <w:rFonts w:ascii="Times New Roman" w:eastAsia="Times New Roman" w:hAnsi="Times New Roman" w:cs="Times New Roman"/>
          <w:i/>
          <w:sz w:val="16"/>
          <w:szCs w:val="16"/>
          <w:highlight w:val="white"/>
        </w:rPr>
      </w:pPr>
    </w:p>
    <w:tbl>
      <w:tblPr>
        <w:tblStyle w:val="66"/>
        <w:tblW w:w="9360" w:type="dxa"/>
        <w:tblInd w:w="0" w:type="dxa"/>
        <w:tblLayout w:type="fixed"/>
        <w:tblLook w:val="04A0"/>
      </w:tblPr>
      <w:tblGrid>
        <w:gridCol w:w="1467"/>
        <w:gridCol w:w="1071"/>
        <w:gridCol w:w="1071"/>
        <w:gridCol w:w="1071"/>
        <w:gridCol w:w="1071"/>
        <w:gridCol w:w="1071"/>
        <w:gridCol w:w="1262"/>
        <w:gridCol w:w="1276"/>
      </w:tblGrid>
      <w:tr w:rsidR="00E944C2">
        <w:trPr>
          <w:cantSplit/>
          <w:trHeight w:val="735"/>
          <w:tblHeader/>
        </w:trPr>
        <w:tc>
          <w:tcPr>
            <w:tcW w:w="1465" w:type="dxa"/>
            <w:tcBorders>
              <w:top w:val="single" w:sz="6" w:space="0" w:color="000000"/>
              <w:left w:val="single" w:sz="6" w:space="0" w:color="000000"/>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Budžet Glavnog grada</w:t>
            </w:r>
          </w:p>
        </w:tc>
        <w:tc>
          <w:tcPr>
            <w:tcW w:w="107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2019.</w:t>
            </w:r>
          </w:p>
        </w:tc>
        <w:tc>
          <w:tcPr>
            <w:tcW w:w="107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2020.</w:t>
            </w:r>
          </w:p>
        </w:tc>
        <w:tc>
          <w:tcPr>
            <w:tcW w:w="107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2021.</w:t>
            </w:r>
          </w:p>
        </w:tc>
        <w:tc>
          <w:tcPr>
            <w:tcW w:w="107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2022.</w:t>
            </w:r>
          </w:p>
        </w:tc>
        <w:tc>
          <w:tcPr>
            <w:tcW w:w="107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2023.</w:t>
            </w:r>
          </w:p>
        </w:tc>
        <w:tc>
          <w:tcPr>
            <w:tcW w:w="1261"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2024.</w:t>
            </w:r>
          </w:p>
        </w:tc>
        <w:tc>
          <w:tcPr>
            <w:tcW w:w="1275"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2025.</w:t>
            </w:r>
          </w:p>
          <w:p w:rsidR="00E944C2" w:rsidRDefault="00F7666C" w:rsidP="00316155">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(III kvartala)</w:t>
            </w:r>
          </w:p>
        </w:tc>
      </w:tr>
      <w:tr w:rsidR="00E944C2">
        <w:trPr>
          <w:cantSplit/>
          <w:trHeight w:val="1335"/>
          <w:tblHeader/>
        </w:trPr>
        <w:tc>
          <w:tcPr>
            <w:tcW w:w="14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Uređivanje, opremanje lokacija i izgradnja saobraćajnica</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4 419 917,14</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3 856 484,40</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6 422 219,48</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5 266 257,16</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3 319 483,31</w:t>
            </w:r>
          </w:p>
        </w:tc>
        <w:tc>
          <w:tcPr>
            <w:tcW w:w="126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3.815.078,02</w:t>
            </w:r>
          </w:p>
        </w:tc>
        <w:tc>
          <w:tcPr>
            <w:tcW w:w="1275"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5.813.562,88</w:t>
            </w:r>
          </w:p>
        </w:tc>
      </w:tr>
      <w:tr w:rsidR="00E944C2">
        <w:trPr>
          <w:cantSplit/>
          <w:trHeight w:val="1815"/>
          <w:tblHeader/>
        </w:trPr>
        <w:tc>
          <w:tcPr>
            <w:tcW w:w="14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Izrada planske i tehničke dokumentacije za opremanje i uređenje lokacija i saobraćajnica</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545 887,03</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595 492,05</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422 735,89</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543 409,94</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295 225,22</w:t>
            </w:r>
          </w:p>
        </w:tc>
        <w:tc>
          <w:tcPr>
            <w:tcW w:w="126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467.381,79</w:t>
            </w:r>
          </w:p>
        </w:tc>
        <w:tc>
          <w:tcPr>
            <w:tcW w:w="1275"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Pr="00AD30E8" w:rsidRDefault="00F7666C" w:rsidP="00E36C81">
            <w:pPr>
              <w:pStyle w:val="Normal1"/>
              <w:spacing w:before="240" w:after="240" w:line="360" w:lineRule="auto"/>
              <w:jc w:val="both"/>
              <w:rPr>
                <w:rFonts w:ascii="Times New Roman" w:eastAsia="Times New Roman" w:hAnsi="Times New Roman" w:cs="Times New Roman"/>
                <w:sz w:val="16"/>
                <w:szCs w:val="16"/>
                <w:highlight w:val="white"/>
              </w:rPr>
            </w:pPr>
            <w:r w:rsidRPr="00AD30E8">
              <w:rPr>
                <w:rFonts w:ascii="Times New Roman" w:eastAsia="Times New Roman" w:hAnsi="Times New Roman" w:cs="Times New Roman"/>
                <w:sz w:val="16"/>
                <w:szCs w:val="16"/>
                <w:highlight w:val="white"/>
              </w:rPr>
              <w:t>318.165,73</w:t>
            </w:r>
          </w:p>
        </w:tc>
      </w:tr>
      <w:tr w:rsidR="00E944C2">
        <w:trPr>
          <w:cantSplit/>
          <w:trHeight w:val="405"/>
          <w:tblHeader/>
        </w:trPr>
        <w:tc>
          <w:tcPr>
            <w:tcW w:w="146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UKUPNO</w:t>
            </w: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07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261" w:type="dxa"/>
            <w:tcBorders>
              <w:top w:val="nil"/>
              <w:left w:val="nil"/>
              <w:bottom w:val="single" w:sz="6" w:space="0" w:color="000000"/>
              <w:right w:val="single" w:sz="6" w:space="0" w:color="000000"/>
            </w:tcBorders>
            <w:tcMar>
              <w:top w:w="0" w:type="dxa"/>
              <w:left w:w="100" w:type="dxa"/>
              <w:bottom w:w="0" w:type="dxa"/>
              <w:right w:w="100" w:type="dxa"/>
            </w:tcMar>
            <w:vAlign w:val="bottom"/>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c>
          <w:tcPr>
            <w:tcW w:w="1275"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E944C2" w:rsidP="00316155">
            <w:pPr>
              <w:pStyle w:val="Normal1"/>
              <w:spacing w:before="240" w:after="240" w:line="360" w:lineRule="auto"/>
              <w:jc w:val="both"/>
              <w:rPr>
                <w:rFonts w:ascii="Times New Roman" w:eastAsia="Times New Roman" w:hAnsi="Times New Roman" w:cs="Times New Roman"/>
                <w:sz w:val="20"/>
                <w:szCs w:val="20"/>
                <w:highlight w:val="white"/>
              </w:rPr>
            </w:pPr>
          </w:p>
        </w:tc>
      </w:tr>
    </w:tbl>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Izvor: Završni računi budžeta Glavnog grada 2019-2024</w:t>
      </w:r>
    </w:p>
    <w:p w:rsidR="00E944C2" w:rsidRDefault="00E944C2" w:rsidP="00E36C81">
      <w:pPr>
        <w:pStyle w:val="Normal1"/>
        <w:spacing w:before="240" w:after="240" w:line="360" w:lineRule="auto"/>
        <w:jc w:val="both"/>
        <w:rPr>
          <w:rFonts w:ascii="Times New Roman" w:eastAsia="Times New Roman" w:hAnsi="Times New Roman" w:cs="Times New Roman"/>
          <w:i/>
          <w:sz w:val="20"/>
          <w:szCs w:val="20"/>
          <w:highlight w:val="white"/>
        </w:rPr>
      </w:pPr>
    </w:p>
    <w:p w:rsidR="00E944C2" w:rsidRDefault="00E944C2" w:rsidP="00E36C81">
      <w:pPr>
        <w:pStyle w:val="Normal1"/>
        <w:spacing w:before="240" w:after="240" w:line="360" w:lineRule="auto"/>
        <w:jc w:val="both"/>
        <w:rPr>
          <w:rFonts w:ascii="Times New Roman" w:eastAsia="Times New Roman" w:hAnsi="Times New Roman" w:cs="Times New Roman"/>
          <w:i/>
          <w:sz w:val="20"/>
          <w:szCs w:val="20"/>
          <w:highlight w:val="white"/>
        </w:rPr>
      </w:pPr>
    </w:p>
    <w:p w:rsidR="00E944C2" w:rsidRDefault="00F7666C" w:rsidP="00316155">
      <w:pPr>
        <w:pStyle w:val="Heading3"/>
        <w:jc w:val="both"/>
        <w:rPr>
          <w:highlight w:val="white"/>
        </w:rPr>
      </w:pPr>
      <w:bookmarkStart w:id="30" w:name="_8fgn4hcck4fc" w:colFirst="0" w:colLast="0"/>
      <w:bookmarkStart w:id="31" w:name="_Toc212039516"/>
      <w:bookmarkEnd w:id="30"/>
      <w:r>
        <w:rPr>
          <w:highlight w:val="white"/>
        </w:rPr>
        <w:t>2.10.1. Naknada za komunalno opremanje građevinskog zemljišta</w:t>
      </w:r>
      <w:bookmarkEnd w:id="31"/>
    </w:p>
    <w:p w:rsidR="00E944C2" w:rsidRDefault="00E944C2" w:rsidP="00316155">
      <w:pPr>
        <w:pStyle w:val="Normal1"/>
        <w:jc w:val="both"/>
        <w:rPr>
          <w:highlight w:val="white"/>
        </w:rPr>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Usvajanjem planske dokumentacije stvaraju se uslovi za značajno investiranje, a samim tim i naplatu naknade za komunalno opremanje građevinskog zemljišta. Takođe, stiču se uslovi za legalizaciju nelegalno izgrađenih objekata na području Glavnog grada i ubiranje prihoda kroz naplatu naknade za bespravne objekte. Za komunalno opremanje građevinskog zemljišta, investitor plaća naknadu prema odredbama Zakona o izgradnji objekata, Zakona o uređenju prostora, Zakon o legalizaciji objekata, Odluci o naknadi za građenje i Odluci o naknadi za urbanu sanaciju, kojom se propisuju uslovi, način, rokovi i postupak plaćanja naknade za građenje i za urbanu sanaciju.</w:t>
      </w:r>
    </w:p>
    <w:p w:rsidR="00E944C2" w:rsidRDefault="00F7666C" w:rsidP="00E36C81">
      <w:pPr>
        <w:pStyle w:val="Normal1"/>
        <w:spacing w:before="240" w:after="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Sredstva od naknade za građenje mogu se koristiti samo za pripremu i osnovno komunalno opremanje građevinskog zemljišta na prostoru na kome se objekat gradi.</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Izuzetno, sredstva od naknade za građenje mogu se koristiti za pripremu i komunalno opremanje građevinskog zemljišta drugih prostora, ako je prostor na kome se objekat gradi u potpunosti komunalno opremljen.</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Visina naknade za građenje utvrđuje se na osnovu ekonomsko-tržišne projekcije planskog dokumenta, u zavisnosti od stepena opremljenosti građevinskog zemljišta; prosječnih troškova osnovnog komunalnog opremanja; zone; vrste objekta; učešća investitora u komunalnom opremanju građevinskog zemljišta.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Članom 65 – 71. Zakona o uređenju prostora (</w:t>
      </w:r>
      <w:r>
        <w:rPr>
          <w:rFonts w:ascii="Times New Roman" w:eastAsia="Times New Roman" w:hAnsi="Times New Roman" w:cs="Times New Roman"/>
          <w:i/>
          <w:sz w:val="24"/>
          <w:szCs w:val="24"/>
          <w:highlight w:val="white"/>
        </w:rPr>
        <w:t xml:space="preserve">"Sl. list CG" br. 19/2025, od 03.03.2025.godine) </w:t>
      </w:r>
      <w:r>
        <w:rPr>
          <w:rFonts w:ascii="Times New Roman" w:eastAsia="Times New Roman" w:hAnsi="Times New Roman" w:cs="Times New Roman"/>
          <w:sz w:val="24"/>
          <w:szCs w:val="24"/>
          <w:highlight w:val="white"/>
        </w:rPr>
        <w:t>definisan je pojam komunalnog opremanja i naknade za građenje kao i komunalno opremanje građevinskog zemljišta od strane zainteresovanog korisnika prostora.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Obavezu komunalnog opremanja Glavni grad ima prema svim Investitorima koji su zaključili Ugovor o naknadi za građenje/ o naknadi za urbanu sanaciju i izvršili plaćanje u skladu sa Ugovorom.</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Agencija je nosilac poslova uređivanja građevinskog zemljišta, što podrazumijeva pripremne aktivnosti za komunalno opremanje i radove na komunalnom opremanju građevinskog zemljišta koji obuhvataju izgradnju saobraćajnica sa pratećim elektro i hidrotehničkim instalacijama.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Kako za pripremne aktivnosti za komunalno opremanje, tako i za radove na komunalnom opremanju, Agencija sprovodi postupke javnih nabavki za izbor najpovoljnijih ponuđača sa kojima zaključuje ugovore.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skladu sa Zakonom o javnim nabavkama, Agencija vrši odabir privrednog subjekta za izradu projektne dokumentacije, revizije iste, izradu eleborata eksproprijacije, izvođača radova, vršioca stručnog nadzora nad izgradnjom objekata, koordinira ovim poslovima, kontroliše i ovjerava račune i situacije, dostavlja ih Sekretarijatu za finansije na plaćanje i o tome vodi evidenciju.</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Saglasno Odluci o naknadi za građenje, Agencija vrši obračun naknade, procjenu troškova komunalnog opremanja, priprema ugovore koje Glavni grad zaključuje sa investitorima i zastupa Glavni grad u sporovima sa investitorima.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2019.godini zaključena su 145 ugovora o naknadi za komunalno opremanje građevinskog zemljišta,od čega je sa fizičkim licima zaključeno 74 ugovora, a sa pravnim licima 71 ugovor. Jednokratnim načinom plaćanja, sa pravom popusta od 15%, zaključeno je 102 ugovora, 32 ugovora sa plaćanjem na rate i 11 ugovora kod kojih je naknada umanjena za 100 %, u skladu sa Zakonom, odnosno Skupštinskim odlukama i članom 16. Odluke o naknadi za komunalno opremanje građevinskog zemljišta ( “Sl.list CG –Opštinski propisi” br.  09/18).  U 2019. godini po osnovu  ugovora o naknadi za komunalno opremanje građevinskog zemljišta naplaćeno je ukupno 23.475.766,44eura.</w:t>
      </w:r>
    </w:p>
    <w:p w:rsidR="00E944C2" w:rsidRDefault="00F7666C" w:rsidP="00E36C81">
      <w:pPr>
        <w:pStyle w:val="Normal1"/>
        <w:spacing w:before="240" w:after="240" w:line="360"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sz w:val="24"/>
          <w:szCs w:val="24"/>
          <w:highlight w:val="white"/>
        </w:rPr>
        <w:t xml:space="preserve">U 2020.godini zaključena su 99 ugovora o naknadi za komunalno opremanje građevinskog zemljišta, od čega je sa fizičkim licima zaključeno 47 ugovora, a sa pravnim licima 52 ugovora. Jednokratnim načinom plaćanja, sa pravom popusta od 15%, zaključeno je 72 ugovora, 22 ugovora sa plaćanjem na rate i 5 ugovora kod kojih je naknada umanjena za 100%, u skladu sa Rješenjem Sekretarijata za planiranje prostora i održivi razvoj shodno primjeni Člana 16 stav 1 alineje 3 i 4 Odluke o naknadi za komunalno opremanje građevinskog zemljišta (Sl.list CG-opštinski propisi br.09/18). U 2020. godini po osnovu  ugovora o naknadi za komunalno opremanje građevinskog zemljišta naplaćeno je ukupno 13.128.432,65 eura.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U 2021. godini zaključena su 124 ugovora o naknadi za komunalno opremanje građevinskog zemljišta, od čega je sa fizičkim licima zaključeno 51 ugovor, a sa pravnim licima 73 ugovora. Jednokratnim načinom plaćanja, sa pravom popusta od 15%, zaključeno je 103 ugovora i21 ugovor sa plaćanjem na rate.U 2021. godini po tom osnovu naplatila iznos od 16.059.420,09 eura.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2022. godini zaključena su 148 ugovora o naknadi za komunalno opremanje građevinskog zemljišta, od čega je sa fizičkim licima zaključeno 55 ugovora, a sa pravnim licima 93 ugovora. Jednokratnim načinom plaćanja, sa pravom popusta od 15%, zaključeno je 126 ugovora i 22 ugovora sa plaćanjem na rate. U 2022. godini po tom osnovu naplatila iznos od 24.011.497,13 eura.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2023. godini zaključena su 130 ugovora o naknadi za komunalno opremanje građevinskog zemljišta, od čega je sa fizičkim licima zaključeno 43 ugovora, a sa pravnim licima 87 ugovora. Jednokratnim načinom plaćanja, sa pravom popusta od 15%, zaključeno je 111 ugovora, 17 ugovora sa plaćanje na rate, dok su 2 ugovora zaključena sa investitorom koji je privremeno oslobođen plaćanja naknade (u skladu sa Zakonom o planiranju prostora i izgradnji objekata, čl.239). U 2023. godini, naplaćeno po osnovu naknade (uračunati i iznosi po osnovu ugovora iz predhodnih godina)18.314.902,78 eura.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U 2024. godini zaključena su 73 ugovora o naknadi za komunalno opremanje građevinskog zemljišta, od čega je sa fizičkim licima zaključeno 48 ugovora, a sa pravnim licima 25 ugovora. U 2024. godini po tom osnovu naplaćeo po osnovu naknade je  iznos od 8.219.943,11 eura. </w:t>
      </w:r>
    </w:p>
    <w:p w:rsidR="00E944C2" w:rsidRDefault="00F7666C">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U 2025. godini do 30. septembra su zaključena 162 ugovora o naknadi za komunalno opremanje građevinskog zemljišta, od čega je sa fizičkim licima zaključeno 154 ugovora, a sa pravnim licima 8 ugovora. U 2025. godini po tom osnovu naplatila iznos od 21.121.585,56 eura. </w:t>
      </w:r>
    </w:p>
    <w:p w:rsidR="00E944C2" w:rsidRDefault="00F7666C">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narednim grafikonima prikazani su podaci o broju zaključenih ugovora i sredstvima naplaćenim po osnovu ove naknade:</w:t>
      </w:r>
    </w:p>
    <w:p w:rsidR="00E944C2" w:rsidRDefault="00E944C2">
      <w:pPr>
        <w:pStyle w:val="Normal1"/>
        <w:spacing w:before="240" w:after="0" w:line="276" w:lineRule="auto"/>
        <w:jc w:val="both"/>
        <w:rPr>
          <w:rFonts w:ascii="Times New Roman" w:eastAsia="Times New Roman" w:hAnsi="Times New Roman" w:cs="Times New Roman"/>
          <w:sz w:val="24"/>
          <w:szCs w:val="24"/>
          <w:highlight w:val="white"/>
        </w:rPr>
      </w:pPr>
    </w:p>
    <w:p w:rsidR="00900D75" w:rsidRDefault="00900D75">
      <w:pPr>
        <w:pStyle w:val="Normal1"/>
        <w:spacing w:before="240" w:after="0" w:line="276" w:lineRule="auto"/>
        <w:jc w:val="both"/>
        <w:rPr>
          <w:rFonts w:ascii="Times New Roman" w:eastAsia="Times New Roman" w:hAnsi="Times New Roman" w:cs="Times New Roman"/>
          <w:sz w:val="24"/>
          <w:szCs w:val="24"/>
          <w:highlight w:val="white"/>
        </w:rPr>
      </w:pPr>
    </w:p>
    <w:p w:rsidR="00900D75" w:rsidRDefault="00900D75">
      <w:pPr>
        <w:pStyle w:val="Normal1"/>
        <w:spacing w:before="240" w:after="0" w:line="276" w:lineRule="auto"/>
        <w:jc w:val="both"/>
        <w:rPr>
          <w:rFonts w:ascii="Times New Roman" w:eastAsia="Times New Roman" w:hAnsi="Times New Roman" w:cs="Times New Roman"/>
          <w:sz w:val="24"/>
          <w:szCs w:val="24"/>
          <w:highlight w:val="white"/>
        </w:rPr>
      </w:pPr>
    </w:p>
    <w:p w:rsidR="00900D75" w:rsidRDefault="00900D75">
      <w:pPr>
        <w:pStyle w:val="Normal1"/>
        <w:spacing w:before="240" w:after="0" w:line="276" w:lineRule="auto"/>
        <w:jc w:val="both"/>
        <w:rPr>
          <w:rFonts w:ascii="Times New Roman" w:eastAsia="Times New Roman" w:hAnsi="Times New Roman" w:cs="Times New Roman"/>
          <w:sz w:val="24"/>
          <w:szCs w:val="24"/>
          <w:highlight w:val="white"/>
        </w:rPr>
      </w:pPr>
    </w:p>
    <w:p w:rsidR="00E944C2" w:rsidRDefault="00F7666C">
      <w:pPr>
        <w:pStyle w:val="Normal1"/>
        <w:spacing w:before="24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Tabela 13.Prihod od naknade za komunalno opremanje građevinskog zemljišta</w:t>
      </w:r>
    </w:p>
    <w:p w:rsidR="00E944C2" w:rsidRDefault="00F7666C">
      <w:pPr>
        <w:pStyle w:val="Normal1"/>
        <w:spacing w:before="240" w:after="0" w:line="276" w:lineRule="auto"/>
        <w:jc w:val="both"/>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Izvor: Interna baza</w:t>
      </w:r>
    </w:p>
    <w:tbl>
      <w:tblPr>
        <w:tblStyle w:val="65"/>
        <w:tblpPr w:leftFromText="180" w:rightFromText="180" w:topFromText="180" w:bottomFromText="180" w:vertAnchor="text" w:horzAnchor="margin" w:tblpY="-138"/>
        <w:tblW w:w="9135" w:type="dxa"/>
        <w:tblInd w:w="0" w:type="dxa"/>
        <w:tblLayout w:type="fixed"/>
        <w:tblLook w:val="04A0"/>
      </w:tblPr>
      <w:tblGrid>
        <w:gridCol w:w="9135"/>
      </w:tblGrid>
      <w:tr w:rsidR="00E944C2">
        <w:trPr>
          <w:cantSplit/>
          <w:trHeight w:val="2959"/>
          <w:tblHeader/>
        </w:trPr>
        <w:tc>
          <w:tcPr>
            <w:tcW w:w="9135" w:type="dxa"/>
            <w:tcBorders>
              <w:top w:val="single" w:sz="6" w:space="0" w:color="000000"/>
              <w:left w:val="single" w:sz="6" w:space="0" w:color="000000"/>
              <w:bottom w:val="single" w:sz="6" w:space="0" w:color="000000"/>
              <w:right w:val="single" w:sz="6" w:space="0" w:color="000000"/>
            </w:tcBorders>
            <w:tcMar>
              <w:top w:w="0" w:type="dxa"/>
              <w:bottom w:w="0" w:type="dxa"/>
            </w:tcMar>
          </w:tcPr>
          <w:tbl>
            <w:tblPr>
              <w:tblStyle w:val="64"/>
              <w:tblpPr w:leftFromText="180" w:rightFromText="180" w:vertAnchor="text" w:horzAnchor="page" w:tblpX="1486" w:tblpY="440"/>
              <w:tblOverlap w:val="never"/>
              <w:tblW w:w="6884" w:type="dxa"/>
              <w:tblInd w:w="0" w:type="dxa"/>
              <w:tblLayout w:type="fixed"/>
              <w:tblLook w:val="04A0"/>
            </w:tblPr>
            <w:tblGrid>
              <w:gridCol w:w="577"/>
              <w:gridCol w:w="922"/>
              <w:gridCol w:w="922"/>
              <w:gridCol w:w="921"/>
              <w:gridCol w:w="850"/>
              <w:gridCol w:w="921"/>
              <w:gridCol w:w="850"/>
              <w:gridCol w:w="921"/>
            </w:tblGrid>
            <w:tr w:rsidR="00E944C2">
              <w:trPr>
                <w:cantSplit/>
                <w:trHeight w:val="573"/>
                <w:tblHeader/>
              </w:trPr>
              <w:tc>
                <w:tcPr>
                  <w:tcW w:w="577"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 xml:space="preserve">God.               </w:t>
                  </w:r>
                </w:p>
              </w:tc>
              <w:tc>
                <w:tcPr>
                  <w:tcW w:w="922"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 xml:space="preserve"> 2019.</w:t>
                  </w:r>
                </w:p>
              </w:tc>
              <w:tc>
                <w:tcPr>
                  <w:tcW w:w="922"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2020.</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2021.</w:t>
                  </w:r>
                </w:p>
              </w:tc>
              <w:tc>
                <w:tcPr>
                  <w:tcW w:w="850"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2022.</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2023.</w:t>
                  </w:r>
                </w:p>
              </w:tc>
              <w:tc>
                <w:tcPr>
                  <w:tcW w:w="850"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2024.</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b/>
                      <w:sz w:val="20"/>
                      <w:szCs w:val="20"/>
                      <w:highlight w:val="white"/>
                    </w:rPr>
                  </w:pPr>
                  <w:r>
                    <w:rPr>
                      <w:rFonts w:ascii="Times New Roman" w:eastAsia="Times New Roman" w:hAnsi="Times New Roman" w:cs="Times New Roman"/>
                      <w:b/>
                      <w:sz w:val="20"/>
                      <w:szCs w:val="20"/>
                      <w:highlight w:val="white"/>
                    </w:rPr>
                    <w:t>2025.</w:t>
                  </w:r>
                </w:p>
              </w:tc>
            </w:tr>
            <w:tr w:rsidR="00E944C2">
              <w:trPr>
                <w:cantSplit/>
                <w:trHeight w:val="573"/>
                <w:tblHeader/>
              </w:trPr>
              <w:tc>
                <w:tcPr>
                  <w:tcW w:w="577"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EUR</w:t>
                  </w:r>
                </w:p>
              </w:tc>
              <w:tc>
                <w:tcPr>
                  <w:tcW w:w="922"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23.475.766,44</w:t>
                  </w:r>
                </w:p>
              </w:tc>
              <w:tc>
                <w:tcPr>
                  <w:tcW w:w="922"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13.128.432,65</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16.059.420,09</w:t>
                  </w:r>
                </w:p>
              </w:tc>
              <w:tc>
                <w:tcPr>
                  <w:tcW w:w="850"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24.01.497,13</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18.314.902,78</w:t>
                  </w:r>
                </w:p>
              </w:tc>
              <w:tc>
                <w:tcPr>
                  <w:tcW w:w="850"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8.219.943,11</w:t>
                  </w:r>
                </w:p>
              </w:tc>
              <w:tc>
                <w:tcPr>
                  <w:tcW w:w="921" w:type="dxa"/>
                  <w:tcBorders>
                    <w:top w:val="nil"/>
                    <w:left w:val="nil"/>
                    <w:bottom w:val="nil"/>
                    <w:right w:val="nil"/>
                  </w:tcBorders>
                  <w:tcMar>
                    <w:top w:w="0" w:type="dxa"/>
                    <w:bottom w:w="0" w:type="dxa"/>
                  </w:tcMar>
                </w:tcPr>
                <w:p w:rsidR="00E944C2" w:rsidRDefault="00F7666C" w:rsidP="00E36C81">
                  <w:pPr>
                    <w:pStyle w:val="Normal1"/>
                    <w:spacing w:before="240" w:after="240" w:line="360" w:lineRule="auto"/>
                    <w:jc w:val="both"/>
                    <w:rPr>
                      <w:rFonts w:ascii="Times New Roman" w:eastAsia="Times New Roman" w:hAnsi="Times New Roman" w:cs="Times New Roman"/>
                      <w:sz w:val="20"/>
                      <w:szCs w:val="20"/>
                      <w:highlight w:val="white"/>
                    </w:rPr>
                  </w:pPr>
                  <w:r>
                    <w:rPr>
                      <w:rFonts w:ascii="Times New Roman" w:eastAsia="Times New Roman" w:hAnsi="Times New Roman" w:cs="Times New Roman"/>
                      <w:sz w:val="20"/>
                      <w:szCs w:val="20"/>
                      <w:highlight w:val="white"/>
                    </w:rPr>
                    <w:t>21.121.585,59</w:t>
                  </w:r>
                </w:p>
              </w:tc>
            </w:tr>
          </w:tbl>
          <w:p w:rsidR="00E944C2" w:rsidRDefault="00E944C2" w:rsidP="00E36C81">
            <w:pPr>
              <w:pStyle w:val="Normal1"/>
              <w:spacing w:before="240" w:after="240" w:line="360" w:lineRule="auto"/>
              <w:jc w:val="both"/>
              <w:rPr>
                <w:rFonts w:ascii="Times New Roman" w:eastAsia="Times New Roman" w:hAnsi="Times New Roman" w:cs="Times New Roman"/>
                <w:sz w:val="24"/>
                <w:szCs w:val="24"/>
                <w:highlight w:val="white"/>
              </w:rPr>
            </w:pPr>
          </w:p>
          <w:p w:rsidR="00E944C2" w:rsidRDefault="00E944C2" w:rsidP="00E36C81">
            <w:pPr>
              <w:pStyle w:val="Normal1"/>
              <w:spacing w:before="240" w:after="240" w:line="360" w:lineRule="auto"/>
              <w:jc w:val="both"/>
              <w:rPr>
                <w:rFonts w:ascii="Times New Roman" w:eastAsia="Times New Roman" w:hAnsi="Times New Roman" w:cs="Times New Roman"/>
                <w:sz w:val="24"/>
                <w:szCs w:val="24"/>
                <w:highlight w:val="white"/>
              </w:rPr>
            </w:pPr>
          </w:p>
        </w:tc>
      </w:tr>
    </w:tbl>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Prema Odluci, iznos naknade po kvadratnom metru neto površine objekta odnosno otvorenog prostora na parceli projektovanoj za obavljanje djelatnosti obračunava se kao proizvod prosječnih troškova komunalnog opremanja i koeficijenta opremljenosti po zonama, i iznosi:</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Tabela 14. Naknade za komunalno opremanje</w:t>
      </w:r>
    </w:p>
    <w:tbl>
      <w:tblPr>
        <w:tblStyle w:val="63"/>
        <w:tblW w:w="9215" w:type="dxa"/>
        <w:tblInd w:w="100" w:type="dxa"/>
        <w:tblLayout w:type="fixed"/>
        <w:tblLook w:val="04A0"/>
      </w:tblPr>
      <w:tblGrid>
        <w:gridCol w:w="1655"/>
        <w:gridCol w:w="1125"/>
        <w:gridCol w:w="1125"/>
        <w:gridCol w:w="1080"/>
        <w:gridCol w:w="1080"/>
        <w:gridCol w:w="1080"/>
        <w:gridCol w:w="1035"/>
        <w:gridCol w:w="1035"/>
      </w:tblGrid>
      <w:tr w:rsidR="00E944C2">
        <w:trPr>
          <w:cantSplit/>
          <w:trHeight w:val="525"/>
          <w:tblHeader/>
        </w:trPr>
        <w:tc>
          <w:tcPr>
            <w:tcW w:w="1655" w:type="dxa"/>
            <w:tcBorders>
              <w:top w:val="single" w:sz="6" w:space="0" w:color="000000"/>
              <w:left w:val="single" w:sz="6" w:space="0" w:color="000000"/>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Zona</w:t>
            </w:r>
          </w:p>
        </w:tc>
        <w:tc>
          <w:tcPr>
            <w:tcW w:w="1125"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Ia</w:t>
            </w:r>
          </w:p>
        </w:tc>
        <w:tc>
          <w:tcPr>
            <w:tcW w:w="1125"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I</w:t>
            </w:r>
          </w:p>
        </w:tc>
        <w:tc>
          <w:tcPr>
            <w:tcW w:w="1080"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II</w:t>
            </w:r>
          </w:p>
        </w:tc>
        <w:tc>
          <w:tcPr>
            <w:tcW w:w="1080"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III</w:t>
            </w:r>
          </w:p>
        </w:tc>
        <w:tc>
          <w:tcPr>
            <w:tcW w:w="1080"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IV</w:t>
            </w:r>
          </w:p>
        </w:tc>
        <w:tc>
          <w:tcPr>
            <w:tcW w:w="1035"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V</w:t>
            </w:r>
          </w:p>
        </w:tc>
        <w:tc>
          <w:tcPr>
            <w:tcW w:w="1035"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316155">
            <w:pPr>
              <w:pStyle w:val="Normal1"/>
              <w:spacing w:before="120" w:after="120" w:line="276" w:lineRule="auto"/>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VI</w:t>
            </w:r>
          </w:p>
        </w:tc>
      </w:tr>
      <w:tr w:rsidR="00E944C2">
        <w:trPr>
          <w:cantSplit/>
          <w:trHeight w:val="465"/>
          <w:tblHeader/>
        </w:trPr>
        <w:tc>
          <w:tcPr>
            <w:tcW w:w="1655"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Iznos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tc>
        <w:tc>
          <w:tcPr>
            <w:tcW w:w="1125"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141,56</w:t>
            </w:r>
          </w:p>
        </w:tc>
        <w:tc>
          <w:tcPr>
            <w:tcW w:w="1125"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136,68</w:t>
            </w:r>
          </w:p>
        </w:tc>
        <w:tc>
          <w:tcPr>
            <w:tcW w:w="108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97,63</w:t>
            </w:r>
          </w:p>
        </w:tc>
        <w:tc>
          <w:tcPr>
            <w:tcW w:w="108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73,22</w:t>
            </w:r>
          </w:p>
        </w:tc>
        <w:tc>
          <w:tcPr>
            <w:tcW w:w="108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63,46</w:t>
            </w:r>
          </w:p>
        </w:tc>
        <w:tc>
          <w:tcPr>
            <w:tcW w:w="1035"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48,81</w:t>
            </w:r>
          </w:p>
        </w:tc>
        <w:tc>
          <w:tcPr>
            <w:tcW w:w="1035"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0,00</w:t>
            </w:r>
          </w:p>
        </w:tc>
      </w:tr>
    </w:tbl>
    <w:p w:rsidR="00E944C2" w:rsidRDefault="00F7666C" w:rsidP="00E36C81">
      <w:pPr>
        <w:pStyle w:val="Normal1"/>
        <w:spacing w:before="240" w:after="240" w:line="360" w:lineRule="auto"/>
        <w:jc w:val="both"/>
        <w:rPr>
          <w:rFonts w:ascii="Times New Roman" w:eastAsia="Times New Roman" w:hAnsi="Times New Roman" w:cs="Times New Roman"/>
          <w:i/>
          <w:sz w:val="24"/>
          <w:szCs w:val="24"/>
          <w:highlight w:val="white"/>
        </w:rPr>
      </w:pPr>
      <w:r>
        <w:rPr>
          <w:rFonts w:ascii="Times New Roman" w:eastAsia="Times New Roman" w:hAnsi="Times New Roman" w:cs="Times New Roman"/>
          <w:i/>
          <w:sz w:val="24"/>
          <w:szCs w:val="24"/>
          <w:highlight w:val="white"/>
        </w:rPr>
        <w:t>Izvor: Službeni list</w:t>
      </w:r>
    </w:p>
    <w:p w:rsidR="00E944C2" w:rsidRDefault="00F7666C" w:rsidP="00E36C81">
      <w:pPr>
        <w:pStyle w:val="Normal1"/>
        <w:spacing w:before="240" w:after="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Pored Ugovora o komunalnom opremanju građevinskog zemljišta, Agencija sprovodi proceduru za zaključivanje Ugovora o naknadi za komunalno opremanje građevinskog zemljišta za bespravne objekte/ugovora o naknadi za urbanu sanaciju.</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2020. godini zaključeno je 169 ugovora o naknadi za urbanu sanaciju. Ukupno naplaćeni iznos naknade po osnovu zaključenih ugovora  je 564.148,02 eura, s obzirom na to da je dio vlasnika bespravnih objekata naknadu izmirio jednokratno a dio je plaća u mjesečnim ratama.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2021. godini zaključeno je 189 ugovora o naknadi za urbanu sanaciju. Ukupno naplaćeni iznos naknade po osnovu zaključenih ugovora  je 1.013.932,53 eura s obzirom na to da je dio vlasnika bespravnih objekata naknadu izmirio jednokratno a dio je plaća u mjesečnim ratama.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2022. godini zaključeno je 114 ugovora o naknadi za urbanu sanaciju. Ukupno naplaćeni iznos naknade po osnovu zaključenih ugovora  je 725.007,58 eura, s obzirom na to da je dio vlasnika bespravnih objekata naknadu izmirio jednokratno a dio je plaća u mjesečnim ratama.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2023. godini zaključeno je 52 ugovora o naknadi za urbanu sanaciju. Ukupno naplaćeni iznos naknade po osnovu zaključenih ugovora  je 765.066,48 eura, s obzirom na to da je dio vlasnika bespravnih objekata naknadu izmirio jednokratno a dio je plaća u mjesečnim ratama.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2024. godini zaključeno je 36 ugovora o naknadi za urbanu sanaciju. Ukupno naplaćeni iznos naknade po osnovu zaključenih ugovora  je 415.277,59 eura, s obzirom na to da je dio vlasnika bespravnih objekata naknadu izmirio jednokratno a dio je plaća u mjesečnim ratama.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2025. godini je do 30. septembra zaključeno 23 ugovora o naknadi za urbanu sanaciju. Ukupno naplaćeni iznos naknade po osnovu zaključenih ugovora  je 373.583,59 eura, s obzirom na to da je dio vlasnika bespravnih objekata naknadu izmirio jednokratno a dio je plaća u mjesečnim ratama.</w:t>
      </w:r>
    </w:p>
    <w:p w:rsidR="00E944C2" w:rsidRDefault="00F7666C" w:rsidP="00316155">
      <w:pPr>
        <w:pStyle w:val="Heading3"/>
        <w:jc w:val="both"/>
        <w:rPr>
          <w:highlight w:val="white"/>
        </w:rPr>
      </w:pPr>
      <w:bookmarkStart w:id="32" w:name="_Toc212039517"/>
      <w:r>
        <w:rPr>
          <w:highlight w:val="white"/>
        </w:rPr>
        <w:t>2.10.2. Građevinske dozvole i podnešeni zahtjevi za legalizaciju</w:t>
      </w:r>
      <w:bookmarkEnd w:id="32"/>
    </w:p>
    <w:p w:rsidR="00E944C2" w:rsidRDefault="00E944C2" w:rsidP="00E36C81">
      <w:pPr>
        <w:pStyle w:val="Normal1"/>
        <w:jc w:val="both"/>
        <w:rPr>
          <w:highlight w:val="white"/>
        </w:rPr>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Od dana stupanja na snagu Zakona o planiranju prostora i izgradnji objekata i Zakona o legalizaciji, Sekretarijatu za planiranje prostora i održivi razvoj podnešeno je ukupno 13 236 zahtjeva za legalizaciju bespravnih objekata.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Zakon o legalizaciji bespravnih objekata je stupio na snagu dana 14.08.2025. godine. Novim Zakonom propisani uslovi da bi se objekat legalizovao podrazumjevaju da se isti nalazi na satelitskom i aerofotogrametrijskom snimku koji je sačinjen u julu 2025. godine i da ispunjava opšte i posebne uslove navedene u Zakonu. Organ državne uprave nadležan za poslove uređenja prostora i izgradnje objekata dužan je da obezbijedi snimak i učini ga dostupnim na Geoportalu koji se nalazi na internet stranici Ministarstva.</w:t>
      </w:r>
    </w:p>
    <w:p w:rsidR="00E944C2" w:rsidRDefault="00F7666C" w:rsidP="00E36C81">
      <w:pPr>
        <w:pStyle w:val="Normal1"/>
        <w:spacing w:before="240" w:after="24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Stupanjem na snagu Zakona o legalizaciji, Organ lokalne uprave je nadležan za legalizaciju bespravnih objekata do 500 m².</w:t>
      </w:r>
    </w:p>
    <w:p w:rsidR="00E944C2" w:rsidRDefault="00F7666C" w:rsidP="00E36C81">
      <w:pPr>
        <w:pStyle w:val="Normal1"/>
        <w:spacing w:before="240" w:after="240" w:line="360" w:lineRule="auto"/>
        <w:ind w:firstLine="7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Usvajanjem Zakona o izgradnji koji je stupio na snagu 05.03.2025. godine, bitno je izmijenjen postupak za gradnju objekata. Naime, građevinska dozvola kao upravni akt je ponovo uvedena. Ministarstvo prostornog planiranja, urbanizma i državne imovine je nadležno za izdavanje urbanističko-tehničkih uslova i građevinskih dozvola za objekte preko 3000 m², a za objekte do 3000 m² su nadležne lokalne samouprave.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Tabela 16. Prikaz postupka za građenje</w:t>
      </w:r>
    </w:p>
    <w:tbl>
      <w:tblPr>
        <w:tblStyle w:val="62"/>
        <w:tblW w:w="9360" w:type="dxa"/>
        <w:tblInd w:w="0" w:type="dxa"/>
        <w:tblLayout w:type="fixed"/>
        <w:tblLook w:val="04A0"/>
      </w:tblPr>
      <w:tblGrid>
        <w:gridCol w:w="4540"/>
        <w:gridCol w:w="4820"/>
      </w:tblGrid>
      <w:tr w:rsidR="00E944C2" w:rsidTr="00900D75">
        <w:trPr>
          <w:cantSplit/>
          <w:trHeight w:val="540"/>
          <w:tblHeader/>
        </w:trPr>
        <w:tc>
          <w:tcPr>
            <w:tcW w:w="4540" w:type="dxa"/>
            <w:tcBorders>
              <w:top w:val="single" w:sz="6" w:space="0" w:color="000000"/>
              <w:left w:val="single" w:sz="6" w:space="0" w:color="000000"/>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E36C81">
            <w:pPr>
              <w:pStyle w:val="Normal1"/>
              <w:spacing w:before="120" w:after="120" w:line="276" w:lineRule="auto"/>
              <w:ind w:left="-12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Aktivnost</w:t>
            </w:r>
          </w:p>
        </w:tc>
        <w:tc>
          <w:tcPr>
            <w:tcW w:w="4820" w:type="dxa"/>
            <w:tcBorders>
              <w:top w:val="single" w:sz="6" w:space="0" w:color="000000"/>
              <w:left w:val="nil"/>
              <w:bottom w:val="single" w:sz="6" w:space="0" w:color="000000"/>
              <w:right w:val="single" w:sz="6" w:space="0" w:color="000000"/>
            </w:tcBorders>
            <w:shd w:val="clear" w:color="auto" w:fill="B4C6E7"/>
            <w:tcMar>
              <w:top w:w="0" w:type="dxa"/>
              <w:left w:w="100" w:type="dxa"/>
              <w:bottom w:w="0" w:type="dxa"/>
              <w:right w:w="100" w:type="dxa"/>
            </w:tcMar>
          </w:tcPr>
          <w:p w:rsidR="00E944C2" w:rsidRDefault="00F7666C" w:rsidP="00E36C81">
            <w:pPr>
              <w:pStyle w:val="Normal1"/>
              <w:spacing w:before="120" w:after="120" w:line="276" w:lineRule="auto"/>
              <w:ind w:left="-120"/>
              <w:jc w:val="both"/>
              <w:rPr>
                <w:rFonts w:ascii="Times New Roman" w:eastAsia="Times New Roman" w:hAnsi="Times New Roman" w:cs="Times New Roman"/>
                <w:b/>
                <w:sz w:val="24"/>
                <w:szCs w:val="24"/>
                <w:highlight w:val="white"/>
              </w:rPr>
            </w:pPr>
            <w:r>
              <w:rPr>
                <w:rFonts w:ascii="Times New Roman" w:eastAsia="Times New Roman" w:hAnsi="Times New Roman" w:cs="Times New Roman"/>
                <w:b/>
                <w:sz w:val="24"/>
                <w:szCs w:val="24"/>
                <w:highlight w:val="white"/>
              </w:rPr>
              <w:t>Nadležnost</w:t>
            </w:r>
          </w:p>
        </w:tc>
      </w:tr>
      <w:tr w:rsidR="00E944C2" w:rsidTr="00900D75">
        <w:trPr>
          <w:cantSplit/>
          <w:trHeight w:val="1800"/>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Izdaju se urbanističko tehnički uslovi na zahtjev stranke</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-Sekretarijat za planiranje prostora i održivi razvoj  (za objekte do 3000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Ministarstvo prostornog planiranja, urbanizma i državne imovine (za složene inženjerske objekte i objekte preko 3000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tc>
      </w:tr>
      <w:tr w:rsidR="00E944C2" w:rsidTr="00900D75">
        <w:trPr>
          <w:cantSplit/>
          <w:trHeight w:val="990"/>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Pribavljanje tehničkih uslova (Elektrodistribucija, Vodovod, Telekomunikacije, Saobraćaj itd)</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Prenešena nadležnost Glavnom gradu, sastavni dio Urbanističko tehničkih uslova</w:t>
            </w:r>
          </w:p>
        </w:tc>
      </w:tr>
      <w:tr w:rsidR="00E944C2" w:rsidTr="00900D75">
        <w:trPr>
          <w:cantSplit/>
          <w:trHeight w:val="705"/>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Izrada Idejnog rješenja</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Stranka - licencirano preduzeće za izradu tehničke dokumentacije</w:t>
            </w:r>
          </w:p>
        </w:tc>
      </w:tr>
      <w:tr w:rsidR="00E944C2" w:rsidTr="00900D75">
        <w:trPr>
          <w:cantSplit/>
          <w:trHeight w:val="420"/>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Saglasnost na Idejno rješenje</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Glavni gradski ili državni arhitekta</w:t>
            </w:r>
          </w:p>
        </w:tc>
      </w:tr>
      <w:tr w:rsidR="00E944C2" w:rsidTr="00900D75">
        <w:trPr>
          <w:cantSplit/>
          <w:trHeight w:val="705"/>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Izrada Glavnog projekta</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Stranka - licencirano preduzeće za izradu tehničke dokumentacije</w:t>
            </w:r>
          </w:p>
        </w:tc>
      </w:tr>
      <w:tr w:rsidR="00E944C2" w:rsidTr="00900D75">
        <w:trPr>
          <w:cantSplit/>
          <w:trHeight w:val="705"/>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Revizija projekta</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Stranka - licencirano preduzeće za reviziju tehničke dokumentacije</w:t>
            </w:r>
          </w:p>
        </w:tc>
      </w:tr>
      <w:tr w:rsidR="00E944C2" w:rsidTr="00900D75">
        <w:trPr>
          <w:cantSplit/>
          <w:trHeight w:val="1800"/>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Pribavljanje saglasnosti na glavni projekat</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Sekretarijat za planiranje prostora i održivi razvoj  (za objekte do 3000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vertAlign w:val="superscript"/>
              </w:rPr>
            </w:pPr>
            <w:r>
              <w:rPr>
                <w:rFonts w:ascii="Times New Roman" w:eastAsia="Times New Roman" w:hAnsi="Times New Roman" w:cs="Times New Roman"/>
                <w:sz w:val="24"/>
                <w:szCs w:val="24"/>
                <w:highlight w:val="white"/>
              </w:rPr>
              <w:t>Ministarstvo prostornog planiranja, urbanizma i državne imovine (za složene inženjerske objekte i objekte preko 3000 m</w:t>
            </w:r>
            <w:r>
              <w:rPr>
                <w:rFonts w:ascii="Times New Roman" w:eastAsia="Times New Roman" w:hAnsi="Times New Roman" w:cs="Times New Roman"/>
                <w:sz w:val="24"/>
                <w:szCs w:val="24"/>
                <w:highlight w:val="white"/>
                <w:vertAlign w:val="superscript"/>
              </w:rPr>
              <w:t>2</w:t>
            </w:r>
          </w:p>
        </w:tc>
      </w:tr>
      <w:tr w:rsidR="00E944C2" w:rsidTr="00900D75">
        <w:trPr>
          <w:cantSplit/>
          <w:trHeight w:val="705"/>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Regulisanje naknade za komunalno opremanje  građevinskog zemljišta</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Stranka</w:t>
            </w:r>
          </w:p>
        </w:tc>
      </w:tr>
    </w:tbl>
    <w:p w:rsidR="00900D75" w:rsidRDefault="00900D75"/>
    <w:tbl>
      <w:tblPr>
        <w:tblStyle w:val="62"/>
        <w:tblW w:w="9360" w:type="dxa"/>
        <w:tblInd w:w="0" w:type="dxa"/>
        <w:tblLayout w:type="fixed"/>
        <w:tblLook w:val="04A0"/>
      </w:tblPr>
      <w:tblGrid>
        <w:gridCol w:w="4540"/>
        <w:gridCol w:w="4820"/>
      </w:tblGrid>
      <w:tr w:rsidR="00E944C2" w:rsidTr="00900D75">
        <w:trPr>
          <w:cantSplit/>
          <w:trHeight w:val="1800"/>
          <w:tblHeader/>
        </w:trPr>
        <w:tc>
          <w:tcPr>
            <w:tcW w:w="4540" w:type="dxa"/>
            <w:tcBorders>
              <w:top w:val="single" w:sz="4" w:space="0" w:color="auto"/>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Izdavanje građevinske dozvole</w:t>
            </w:r>
          </w:p>
        </w:tc>
        <w:tc>
          <w:tcPr>
            <w:tcW w:w="4820" w:type="dxa"/>
            <w:tcBorders>
              <w:top w:val="single" w:sz="4" w:space="0" w:color="auto"/>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Sekretarijat za planiranje prostora i održivi razvoj  (za objekte do 3000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Ministarstvo prostornog planiranja, urbanizma i državne imovine (za složene inženjerske objekte i objekte preko 3000 m</w:t>
            </w:r>
            <w:r>
              <w:rPr>
                <w:rFonts w:ascii="Times New Roman" w:eastAsia="Times New Roman" w:hAnsi="Times New Roman" w:cs="Times New Roman"/>
                <w:sz w:val="24"/>
                <w:szCs w:val="24"/>
                <w:highlight w:val="white"/>
                <w:vertAlign w:val="superscript"/>
              </w:rPr>
              <w:t>2</w:t>
            </w:r>
            <w:r>
              <w:rPr>
                <w:rFonts w:ascii="Times New Roman" w:eastAsia="Times New Roman" w:hAnsi="Times New Roman" w:cs="Times New Roman"/>
                <w:sz w:val="24"/>
                <w:szCs w:val="24"/>
                <w:highlight w:val="white"/>
              </w:rPr>
              <w:t>)</w:t>
            </w:r>
          </w:p>
        </w:tc>
      </w:tr>
      <w:tr w:rsidR="00E944C2" w:rsidTr="00900D75">
        <w:trPr>
          <w:cantSplit/>
          <w:trHeight w:val="1275"/>
          <w:tblHeader/>
        </w:trPr>
        <w:tc>
          <w:tcPr>
            <w:tcW w:w="4540"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Provjera usklađenosti glavnog projekta s izdatim UT uslovima, idejnim rješenjem na koji je data saglasnost, pravo svojine na zemljištu</w:t>
            </w:r>
          </w:p>
        </w:tc>
        <w:tc>
          <w:tcPr>
            <w:tcW w:w="482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ind w:left="-120"/>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Urbanističko-građevinska inspekcija Ministarstva prostornog planiranja, urbanizma i državne imovine</w:t>
            </w:r>
          </w:p>
        </w:tc>
      </w:tr>
    </w:tbl>
    <w:p w:rsidR="00E944C2" w:rsidRDefault="00E944C2" w:rsidP="00E36C81">
      <w:pPr>
        <w:pStyle w:val="Normal1"/>
        <w:spacing w:before="240" w:after="240" w:line="360" w:lineRule="auto"/>
        <w:jc w:val="both"/>
        <w:rPr>
          <w:rFonts w:ascii="Times New Roman" w:eastAsia="Times New Roman" w:hAnsi="Times New Roman" w:cs="Times New Roman"/>
          <w:sz w:val="24"/>
          <w:szCs w:val="24"/>
          <w:highlight w:val="white"/>
        </w:rPr>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Broj zahtjeva za građevinske dozvole od usvajanja novog Zakona o izgradnji, podnijetih ovom Sekretarijatu iznosi  150, a broj izdatih građevinskih dozvola iznosi 57.</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U planiranju prostora Glavnog grada došlo je do bitnih promjena usvajanjem Zakona o uređenju  prostora koji je stupio na snagu 05.03.2025. godine i donošenjem Izmjena i dopuna PUP-a Podgorice.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Planiranje prostornog razvoja Podgorice, kritičke analize usvojenih planskih dokumenata (DUP, UP I LSL), vizije Podgorice do  2030. godine i osnovnih opredjeljenja scenarija budućeg razvoja uređivaće se na način koji podrazumjeva da se planski dokumenti obrađuju od strane Agencije za izradu planskih dokumenata Glavnog grada.  </w:t>
      </w:r>
    </w:p>
    <w:p w:rsidR="00E944C2" w:rsidRDefault="00F7666C" w:rsidP="00316155">
      <w:pPr>
        <w:pStyle w:val="Heading2"/>
        <w:jc w:val="both"/>
        <w:rPr>
          <w:highlight w:val="white"/>
        </w:rPr>
      </w:pPr>
      <w:bookmarkStart w:id="33" w:name="_Toc212039518"/>
      <w:r>
        <w:rPr>
          <w:highlight w:val="white"/>
        </w:rPr>
        <w:t>2.11. Lokalni putevi i ulice u naseljima</w:t>
      </w:r>
      <w:bookmarkEnd w:id="33"/>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Mreža lokalnih puteva omogućava relativno zadovoljavajuću povezanost grada s okolnim mjestima i seoskim područjem.Tehničke karakteristike ovih puteva uglavnom ne ispunjavaju potrebne minimalne uslove za bezbjedan saobraćaj, što upućuje na neophodnost izrade tehničke dokumentacije radi njihove rekonstrukcije i kvalitetnog održavanja.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34" w:name="_Toc212039519"/>
      <w:r>
        <w:t>2.11.1. Javni prevoz putnika</w:t>
      </w:r>
      <w:bookmarkEnd w:id="34"/>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području Podgorice javni prevoz putnika funkcioniše kao autobuski gradski i prigradski prevoz i auto-taksi prevoz putnika.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okviru linijskog prevoza putnika na teritoriji Glavnog grada Podgorica funkcioniše 31 autobuska linija, 23 autobuskih linija u okviru kojih saobraća 47 autobusa i 8 autobuskih linija na kojima se vrši prevoz sa 9 kombi vozila. Uvažavajući brojne primjedbe građana na rad privatnih prevoznika koji su obavljali prevoz na teritoriji Glavnog grada, Sekretarijat za saobraćaj je učestvovao u izradi specifikacija s ciljem pronalaženja optimalnog rješenja i nabavke određenog broja autobusa. Ovaj korak je preduzet kako bi se unaprijedio kvalitet usluga linijskog prevoza i zadovoljile potrebe građana. Tako je tokom 2022. i 2023. godine izvršena nabavka 45 novih autobusa, marke BMC, EURO6 standarda.Prosječna starost novih autobusa je 5 godina. Frekvencija polazaka u okviru gradskog linijskog prevoza na većini linija je od 20 do 40 minuta.Takođe,u cilju poboljšanja efikasnosti prevoza, preduzeće “Putevi d.o.o.” je nabavilo i 18 polovnih autobusa marke MAN i Mercedesi iznajmilo 16 polovnih kombi vozila.Prema dostupnim informacijama očekuje se nabavkadodatna 4 autobusa marke MAN.</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Shodno Odluci o besplatnom prevozu putnika u periodu septembar 2023 – jun 2024. godine izdato je 9555 besplatnih karata za učenike osnovnih i srednjih škola. Osim toga, u prethodnom periodu je usvojena Odluka o besplatnomprevozu u prigradskom i gradskom linijskom saobraćaju ranjivih kategorija stanovništva na teritoriji Glavnog grada Podgorice kojom se omogućava ostvarivanje prava na besplatan prevoz u gradskom i prigradskom linijskom saobraćaju za penzionere, lica preko 67 godina starosti, lica sa invaliditetom i lica u stanju socijalne potrebe.Tokom 2024. godineizdato je 4965 voznih karata za penzionere, 2865 voznih karata za studente i 11984 voznih karata za radnike.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Slika 1. Plan linija linijskog prevoza putnika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114300" distB="114300" distL="114300" distR="114300">
            <wp:extent cx="5943600" cy="3695700"/>
            <wp:effectExtent l="0" t="0" r="0" b="0"/>
            <wp:docPr id="28" name="image24.png"/>
            <wp:cNvGraphicFramePr/>
            <a:graphic xmlns:a="http://schemas.openxmlformats.org/drawingml/2006/main">
              <a:graphicData uri="http://schemas.openxmlformats.org/drawingml/2006/picture">
                <pic:pic xmlns:pic="http://schemas.openxmlformats.org/drawingml/2006/picture">
                  <pic:nvPicPr>
                    <pic:cNvPr id="28" name="image24.png"/>
                    <pic:cNvPicPr preferRelativeResize="0"/>
                  </pic:nvPicPr>
                  <pic:blipFill>
                    <a:blip r:embed="rId10" cstate="print"/>
                    <a:srcRect/>
                    <a:stretch>
                      <a:fillRect/>
                    </a:stretch>
                  </pic:blipFill>
                  <pic:spPr>
                    <a:xfrm>
                      <a:off x="0" y="0"/>
                      <a:ext cx="5943600" cy="3695700"/>
                    </a:xfrm>
                    <a:prstGeom prst="rect">
                      <a:avLst/>
                    </a:prstGeom>
                  </pic:spPr>
                </pic:pic>
              </a:graphicData>
            </a:graphic>
          </wp:inline>
        </w:drawing>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Izvor: Interna baza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značajnih ulaganja tokom prethodnih nekoliko godina, gradski i prigradski linijski prevoz putnika u Podgorici se suočava s izazovima, kao što su još uvijek neadekvatna pokrivenost mreže linija, nedovoljna frekventnost, manjak informacija i deficit voznog parka. Modernizacija, poboljšanje ponude, veća pristupačnost i dostupnost javnog prevoza i jačanje komunikacije sa građanima su od ključne važnosti za ​​unaprjeđenje linijskog prevoza.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281E1E"/>
          <w:sz w:val="24"/>
          <w:szCs w:val="24"/>
          <w:highlight w:val="white"/>
        </w:rPr>
        <w:t xml:space="preserve">Kako bi se moglo adekvatno odgovoriti zahtjevima građana i obuhvatiti svaki dio grada,  pristupiće se povećanju kapaciteta voznog parka. </w:t>
      </w:r>
      <w:r>
        <w:rPr>
          <w:rFonts w:ascii="Times New Roman" w:eastAsia="Times New Roman" w:hAnsi="Times New Roman" w:cs="Times New Roman"/>
          <w:sz w:val="24"/>
          <w:szCs w:val="24"/>
        </w:rPr>
        <w:t>Planirano je da se izvrši nabavka odgovarajućeg broja mini kombi vozila, čime će se obezbijediti sveobuhvatna pokrivenost prevozom za sve građane, uključujući i one u teško dostupnim područjima. Osim prethodno pomenutog, uvećanjem flote vozila različitih kategorija omogućiće se bolja povezanost svih gradskih i prigradskih naselja. S tim u vezi, za 2025. godinu, između ostalog, predviđena je i nabavka autobusa koji će biti namijenjen za turističke potrebe Glavnog grada, čime će se dodatno unaprijediti turistička ponuda i atraktivnostPodgorice kao turističke destinacije.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unaprjeđenja i modernizacije sistema javnog prevoza i ograničenja javnog masovnog prevoza putnika usljed velikih opterećenja pojedinih koridora, naročito na području užeg centra i u dijelu glavnih saobraćajnica koje vode u gradsko jezgro, auto taksi prevoz još uvijek zauzima značajno mjesto kada je u pitanju prevozputnika u Podgorici. Zaključno sa septembrom 2025. godine izdato je 268 licenci sa 870 izvoda iz licenci za ovaj vid prevoza. U Podgorici je ukupno 71 obilježenih taksi stajališta sa 424 taksi mjesta.</w:t>
      </w:r>
    </w:p>
    <w:p w:rsidR="00E944C2" w:rsidRDefault="00F7666C" w:rsidP="00316155">
      <w:pPr>
        <w:pStyle w:val="Heading3"/>
        <w:jc w:val="both"/>
      </w:pPr>
      <w:bookmarkStart w:id="35" w:name="_Toc212039520"/>
      <w:r>
        <w:t>2.11.2. Digitalizacija linijskog prevoza putnika</w:t>
      </w:r>
      <w:bookmarkEnd w:id="35"/>
    </w:p>
    <w:p w:rsidR="00E944C2" w:rsidRDefault="00F7666C" w:rsidP="00E36C81">
      <w:pPr>
        <w:pStyle w:val="Normal1"/>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U okviru modernizacije linijskog prevoza, nastavljeno je s realizacijom aktivnosti koje se odnose na digitalizaciju linijskog prevoza putnika. Glavni grad Podgorica pustio je u rad novi servis koji građanima omogućava da prate kretanje autobusa linijskog gradskog i prigradskog prevoza u realnom vremenu.</w:t>
      </w:r>
    </w:p>
    <w:p w:rsidR="00E944C2" w:rsidRDefault="00F7666C" w:rsidP="00E36C81">
      <w:pPr>
        <w:pStyle w:val="Normal1"/>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Aplikacija koja je korišćena u prethodnom periodu “Klik Bus”, a koja je ujedno bila i pilot projekat doniran od strane GIZ-a (</w:t>
      </w:r>
      <w:r>
        <w:rPr>
          <w:rFonts w:ascii="Times New Roman" w:hAnsi="Times New Roman" w:cs="Times New Roman"/>
          <w:i/>
          <w:sz w:val="24"/>
          <w:szCs w:val="24"/>
        </w:rPr>
        <w:t>Deutsche Gesellschaft für Internationale Zusammenarbeit</w:t>
      </w:r>
      <w:r>
        <w:rPr>
          <w:rFonts w:ascii="Times New Roman" w:hAnsi="Times New Roman" w:cs="Times New Roman"/>
          <w:sz w:val="24"/>
          <w:szCs w:val="24"/>
        </w:rPr>
        <w:t>) bila je osnov daljeg ažuriranja softverskog rješenja funkcionisanja linijskog prevoza putnika.</w:t>
      </w:r>
    </w:p>
    <w:p w:rsidR="00E944C2" w:rsidRDefault="00F7666C" w:rsidP="00E36C81">
      <w:pPr>
        <w:pStyle w:val="Normal1"/>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Korićenjem aplikacije, građani mogu u svakom trenutku provjeriti gdje se nalazi autobus i za koliko vremena će stići na određeno stajalište. Osim pomenutog, pored postojećih mjesečnih karata, uvedena je i pripejd opcija, koja omogućava korisnicima da sami dopunjuju iznos po želji i koriste kartu u skladu sa sopstvenim navikama. Na ovaj način, sistem javnog prevoza postaje fleksibilniji i dostupniji širokom krugu korisnika. Ovako uspostavljen sistem predstavlja značajan iskorak ka modernizaciji i unaprjeđenju usluge javnog prevoza, u skladu sa potrebama korisnika. Takođe, na ovaj način se prikupljaju podaci koji služe za analizu navika korisnika prevoza, optimizaciju trasa i planiranje daljeg razvoja javnog prevoza.</w:t>
      </w:r>
    </w:p>
    <w:p w:rsidR="00E944C2" w:rsidRDefault="00F7666C" w:rsidP="00E36C81">
      <w:pPr>
        <w:pStyle w:val="Normal1"/>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Za ove potrebe, izvršena je i nabavka LED informacionih tabli koje će biti postavljene na 40 lokacija. Na ovaj način, korisnicima se omogućava da u svakom trenutku budu informisani o lokaciji autobusa u realnom vremenu, odnosno o vremenu njegovog dolaska na konkretno stajalište, čime se unapređuje usluga javnog linijskog prevoza putnika kroz uvođenje savremenih ITS rješenja i aplikacija.</w:t>
      </w:r>
    </w:p>
    <w:p w:rsidR="00E944C2" w:rsidRDefault="00F7666C" w:rsidP="00E36C81">
      <w:pPr>
        <w:pStyle w:val="Normal1"/>
        <w:spacing w:before="240" w:after="240" w:line="360" w:lineRule="auto"/>
        <w:jc w:val="both"/>
        <w:rPr>
          <w:rFonts w:ascii="Times New Roman" w:hAnsi="Times New Roman" w:cs="Times New Roman"/>
          <w:sz w:val="24"/>
          <w:szCs w:val="24"/>
        </w:rPr>
      </w:pPr>
      <w:r>
        <w:rPr>
          <w:rFonts w:ascii="Times New Roman" w:hAnsi="Times New Roman" w:cs="Times New Roman"/>
          <w:sz w:val="24"/>
          <w:szCs w:val="24"/>
        </w:rPr>
        <w:t>Sve navedene aktivnosti su aktivnosti koje se kontinuirano sprovode, pa će shodno tome Glavni grad nastaviti s ulaganjem u digitalizaciju i modernizaciju usluga, kako bi javni prevoz u Podgorici bio efikasniji, dostupniji i prilagođen potrebama građana.</w:t>
      </w:r>
    </w:p>
    <w:p w:rsidR="00E944C2" w:rsidRDefault="00F7666C" w:rsidP="00316155">
      <w:pPr>
        <w:pStyle w:val="Heading3"/>
        <w:jc w:val="both"/>
      </w:pPr>
      <w:bookmarkStart w:id="36" w:name="_Toc212039521"/>
      <w:r>
        <w:t>2.11.3. Stacionarni saobraćaj</w:t>
      </w:r>
      <w:bookmarkEnd w:id="36"/>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Intenzivna izgradnja stambenih poslovnih i kombinovanih objekata u Glavnom gradu stvorila je problem nedostatka dovoljnog broja mjesta za parkiranje. Ovaj problem je izražen kako u užem, tako u širem gradskom jezgru, a naročito na lokacijama gdje se grade novi stambeni blokovi. Na pojedinim mjestima problem parkiranja je riješen izgradnjom podzemnih garaža. Međutim, problem nedovoljnog broja parking mjesta je i dalje izražen.</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tim u vezi, preduzeće “Parking servis Podgorica” d.o.o. kontinuirano sprovodi aktivnosti na širenju kapaciteta parking mjesta, modernizaciji opreme i uvođenju savremene tehnologije kako bi korisnicima usluga pružili informacije o cijenama, načinu plaćanja i dostupnosti javnih parkirališta.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Društvo upravlja s ukupno 7 378 parking mjesta, na uređenim parkiralištima sa kontrolisanim ulaskom i izlaskom sa 2 204 parking mjesta, u garažama i smart garažama 837, dok su u zonama, odnosno na opštim parkiralištima u centru grada i u dijelu grada preko Morače obilježena 4 337 parking mjesta. Osim navedenog, Društvo raspolaže sa osamnaest (18) organizovanih parkirališta, pet (5) garaža i tri (3) parking zone.</w:t>
      </w:r>
    </w:p>
    <w:p w:rsidR="00E944C2" w:rsidRDefault="00F7666C" w:rsidP="00316155">
      <w:pPr>
        <w:pStyle w:val="Heading3"/>
        <w:jc w:val="both"/>
      </w:pPr>
      <w:bookmarkStart w:id="37" w:name="_Toc212039522"/>
      <w:r>
        <w:t>2.11.4. Infrastruktura za nemotorizovane učesnike u saobraćaju</w:t>
      </w:r>
      <w:bookmarkEnd w:id="37"/>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Pješačku infrastrukturu u gradu čine trotoari uz saobraćajnice, pješačke staze, pješački mostovi, šetališne staze i trgovi. Ukupna dužina biciklističkih staza i traka na pet izgrađenih koridora kroz gradsko jezgro iznosi 10,056,2 km. Izgrađene su i dvije biciklističke rute za iskusnije bicikliste, dužine oko 30 km. Uz novoplanirane saobraćajnice obavezno je planiranje biciklističkih staza, uz poštovanje propisa za njihovo projektovanje.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cilju motivacije građana da koriste bicikl kao sredstvo prevoza, Glavni grad kontinuirano sprovodi Javni poziv za dodjelu subvencije za kupovinu bicikala „Podgorica na dva točka“ kojim se kroz subvencioniranu kupovinu obezbjeđuje kupovina bicikla u visini od 50% cijene bicikla, a najviše do 150 eura po korisniku. U tekućoj godini je realizovan jedanaesti ciklus dodjele subvencija u toku kojeg je 533 korisnika ostvarilo pravo na subvenciju.</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Slika 2. Mapa postojeće biciklističke infrastrukture</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114300" distB="114300" distL="114300" distR="114300">
            <wp:extent cx="5734050" cy="3228975"/>
            <wp:effectExtent l="19050" t="0" r="0" b="0"/>
            <wp:docPr id="30" name="image26.png"/>
            <wp:cNvGraphicFramePr/>
            <a:graphic xmlns:a="http://schemas.openxmlformats.org/drawingml/2006/main">
              <a:graphicData uri="http://schemas.openxmlformats.org/drawingml/2006/picture">
                <pic:pic xmlns:pic="http://schemas.openxmlformats.org/drawingml/2006/picture">
                  <pic:nvPicPr>
                    <pic:cNvPr id="30" name="image26.png"/>
                    <pic:cNvPicPr preferRelativeResize="0"/>
                  </pic:nvPicPr>
                  <pic:blipFill>
                    <a:blip r:embed="rId11" cstate="print"/>
                    <a:srcRect l="3211" t="6105" r="5887" b="10756"/>
                    <a:stretch>
                      <a:fillRect/>
                    </a:stretch>
                  </pic:blipFill>
                  <pic:spPr>
                    <a:xfrm>
                      <a:off x="0" y="0"/>
                      <a:ext cx="5734050" cy="3228975"/>
                    </a:xfrm>
                    <a:prstGeom prst="rect">
                      <a:avLst/>
                    </a:prstGeom>
                  </pic:spPr>
                </pic:pic>
              </a:graphicData>
            </a:graphic>
          </wp:inline>
        </w:drawing>
      </w:r>
    </w:p>
    <w:p w:rsidR="00E944C2" w:rsidRDefault="00F7666C" w:rsidP="00E36C81">
      <w:pPr>
        <w:pStyle w:val="Normal1"/>
        <w:spacing w:before="240" w:after="0"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Interna baza</w:t>
      </w:r>
    </w:p>
    <w:p w:rsidR="00E944C2" w:rsidRDefault="00E944C2" w:rsidP="00E36C81">
      <w:pPr>
        <w:pStyle w:val="Normal1"/>
        <w:spacing w:before="240" w:after="0" w:line="276" w:lineRule="auto"/>
        <w:jc w:val="both"/>
        <w:rPr>
          <w:rFonts w:ascii="Times New Roman" w:eastAsia="Times New Roman" w:hAnsi="Times New Roman" w:cs="Times New Roman"/>
          <w:i/>
          <w:sz w:val="24"/>
          <w:szCs w:val="24"/>
        </w:rPr>
      </w:pPr>
    </w:p>
    <w:p w:rsidR="00E944C2" w:rsidRDefault="00F7666C" w:rsidP="00316155">
      <w:pPr>
        <w:pStyle w:val="Heading3"/>
        <w:jc w:val="both"/>
      </w:pPr>
      <w:bookmarkStart w:id="38" w:name="_Toc212039523"/>
      <w:r>
        <w:t>2.11.5. Željeznički saobraćaj</w:t>
      </w:r>
      <w:bookmarkEnd w:id="38"/>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Postojeću željezničku mrežu u Crnoj Gori čine jednokolosječne pruge normalne širine i tri željeznička pravca:</w:t>
      </w:r>
    </w:p>
    <w:p w:rsidR="00E944C2" w:rsidRDefault="00F7666C" w:rsidP="00E36C81">
      <w:pPr>
        <w:pStyle w:val="Normal1"/>
        <w:spacing w:before="240" w:after="0"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Vrbnica – Bar, dio pruge Beograd – Bar koji prolazi kroz Crnu Goru;</w:t>
      </w:r>
    </w:p>
    <w:p w:rsidR="00E944C2" w:rsidRDefault="00F7666C" w:rsidP="00E36C81">
      <w:pPr>
        <w:pStyle w:val="Normal1"/>
        <w:spacing w:before="240" w:after="0"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Podgorica – Tuzi – državna granica (dio pruge Podgorica – Skadar);</w:t>
      </w:r>
    </w:p>
    <w:p w:rsidR="00E944C2" w:rsidRDefault="00F7666C" w:rsidP="00E36C81">
      <w:pPr>
        <w:pStyle w:val="Normal1"/>
        <w:spacing w:before="240" w:after="0"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Podgorica – Nikšić.</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Tri navedene dionice predstavljaju osnovu koncepta unaprjeđenja željezničkog putničkog saobraćaja u smislu nosilaca prevoza putnika u regionalnom saobraćaju. Obzirom da veliki broj putnika između Nikšića i Podgorice čine zaposleni, đaci i studenti, željeznički prevoz bi trebalo promovisati putnicima kao adekvatnu održivu alternativu drumskom prevozu.</w:t>
      </w:r>
    </w:p>
    <w:p w:rsidR="00E944C2" w:rsidRDefault="00E944C2" w:rsidP="00316155">
      <w:pPr>
        <w:pStyle w:val="Heading2"/>
        <w:jc w:val="both"/>
      </w:pPr>
    </w:p>
    <w:p w:rsidR="00E944C2" w:rsidRDefault="00F7666C" w:rsidP="00900D75">
      <w:pPr>
        <w:pStyle w:val="Heading2"/>
      </w:pPr>
      <w:bookmarkStart w:id="39" w:name="_Toc212039524"/>
      <w:r>
        <w:t>2.12. Poboljšanje saobraćajne infrastrukture i mobilnosti</w:t>
      </w:r>
      <w:bookmarkEnd w:id="39"/>
      <w:r>
        <w:br/>
      </w:r>
    </w:p>
    <w:p w:rsidR="00E944C2" w:rsidRDefault="00F7666C" w:rsidP="00316155">
      <w:pPr>
        <w:pStyle w:val="Heading3"/>
        <w:jc w:val="both"/>
        <w:rPr>
          <w:rFonts w:eastAsia="Calibri" w:cs="Calibri"/>
          <w:sz w:val="28"/>
          <w:szCs w:val="26"/>
        </w:rPr>
      </w:pPr>
      <w:bookmarkStart w:id="40" w:name="_Toc212039525"/>
      <w:r>
        <w:t>2.12.1. Razvoj saobraćajne infrastrukture</w:t>
      </w:r>
      <w:bookmarkEnd w:id="40"/>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Realizacija savremenih saobraćajnih tokova zahtijeva prije svega razvijenu saobraćajnu infrastrukturu, čija neadekvatna razvijenost predstavlja kočnicu daljeg privrednog rasta i razvoja. Samo kvalitetna saobraćajna infrastruktura omogućava realizaciju nesmetanog protoka ljudi, roba, usluga i kapitala. Iako se u savremenim uslovima poslovanja nameće konkurencija između pojedinih vidova saobraćaja, te sve više podstiču multimodalna saobraćajna rješenja, statistički podaci pokazuju da drumski saobraćaj i dalje ostaje dominantan u poređenju sa drugim vidovima saobraćaja, što upućuje na poseban značaj koji ima kvalitetna putna infrastruktura u Glavnom gradu.</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 jedne strane visoko vrijedne investicije u putnu infrastrukturu, sa relativno dugim periodima realizacije, a sa druge strane prostorna i finansijska ograničenja, dodatno ukazuju na značaj kvalitetnog strateškog planiranja kada je riječ o planiranju i realizaciji investicija u oblasti putne infrastrukture.</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tom cilju neophodno je kontinuirano raditi na unaprjeđenju i modernizaciji putne infrastrukture kroz:</w:t>
      </w:r>
    </w:p>
    <w:p w:rsidR="00E944C2" w:rsidRDefault="00F7666C" w:rsidP="00E36C81">
      <w:pPr>
        <w:pStyle w:val="Normal1"/>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izgradnju novih i rekonstrukciju postojećih puteva u skladu sa važećim strateškim dokumentima (Prostorno urbanistički plan i Plan održive urbane mobilnosti): Unaprijediti kvalitet i bezbjednost saobraćajnica u skladu sa savremenim trendovima i načelima održive urbane mobilnosti uz uravnotežen razvoj svih vidova prevoza.</w:t>
      </w:r>
    </w:p>
    <w:p w:rsidR="00E944C2" w:rsidRDefault="00F7666C" w:rsidP="00E36C81">
      <w:pPr>
        <w:pStyle w:val="Normal1"/>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analizu potrebe i izgradnje dodatnih parking prostora, sa jasno definisanom politikom naplate parkinga i kontrole i sankcionisanja nepropisno zaustavljenih i parkiranih vozila.</w:t>
      </w:r>
    </w:p>
    <w:p w:rsidR="00E944C2" w:rsidRDefault="00F7666C" w:rsidP="00E36C81">
      <w:pPr>
        <w:pStyle w:val="Normal1"/>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Inteligentnih transportnih sistema za kontrolu i regulisanje saobraćaja.</w:t>
      </w:r>
    </w:p>
    <w:p w:rsidR="00E944C2" w:rsidRDefault="00F7666C" w:rsidP="00E36C81">
      <w:pPr>
        <w:pStyle w:val="Normal1"/>
        <w:numPr>
          <w:ilvl w:val="0"/>
          <w:numId w:val="4"/>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bezbjednosti saobraćaja kroz strateški planirane i propisno obilježene zone usporenog saobraćaja, zone “30”, zone škole i pješačke zone. Sprovođenje analiza saobraćajnih nezgoda u cilju prepoznavanja “crnih tačaka” i preduzimanje neophodnih mjera za poboljšanje elemenata puta koji su doprinijeli nastanku i posljedicama saobraćajne nezgode, vodeći se načelom: put treba da prašta greške, odnosno put mora biti projektovan i izveden na način da ne utiče na nastanak saobraćajne nezgode, a ukoliko se nezgoda dogodi, da posljedice budu minimalne.</w:t>
      </w:r>
    </w:p>
    <w:p w:rsidR="00E944C2" w:rsidRDefault="00F7666C" w:rsidP="00E36C81">
      <w:pPr>
        <w:pStyle w:val="Normal1"/>
        <w:numPr>
          <w:ilvl w:val="0"/>
          <w:numId w:val="4"/>
        </w:num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pješačke i biciklističke infrastrukture: Kontinuirano poboljšanje uslova za kretanje pješaka i biciklista i drugih sredstava mikromobilnosti kroz izgradnju nedostajućih i unapređenje postojećih pješačkih površina, njihovo prilagođavanje potrebama osoba sa invaliditetom i osoba smanjene pokretljivosti i izgradnja kvalitetne i dobro povezane mreže biciklističke infrastrukture u skladu sa standardima.</w:t>
      </w:r>
    </w:p>
    <w:p w:rsidR="00E944C2" w:rsidRDefault="00F7666C" w:rsidP="00E36C81">
      <w:pPr>
        <w:pStyle w:val="Normal1"/>
        <w:numPr>
          <w:ilvl w:val="0"/>
          <w:numId w:val="4"/>
        </w:num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izgradnju obilaznica i novih saobraćajnica: Izmještanje tranzitnog saobraćaja iz urbanog jezgra grada radi poboljšanja kvaliteta stanovnika stambenih naselja, bezbjednosti učesnika u saobraćaju, smanjenja buke i emisije izduvnih gasova, smanjenja saobraćajnih gužvi i bržeg protoka saobraćaja.</w:t>
      </w:r>
    </w:p>
    <w:p w:rsidR="00E944C2" w:rsidRDefault="00F7666C" w:rsidP="00316155">
      <w:pPr>
        <w:pStyle w:val="Heading3"/>
        <w:jc w:val="both"/>
      </w:pPr>
      <w:bookmarkStart w:id="41" w:name="_Toc212039526"/>
      <w:r>
        <w:t>2.12.2. Razvoj održivog javnog prevoza putnika i aktivne mobilnosti</w:t>
      </w:r>
      <w:bookmarkEnd w:id="41"/>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prelazak na bezbjednu, pristupačnu,  pametnu i otpornu gradsku mobilnost sa nultom stopom emisija treba se usmjeriti na aktivnu i zajedničku mobilnost koja se bazira na rješenjima sa niskom i nultom stopom emisija. Iz tog razloga neophodan je strateški pristup i nova ulaganja, sa fokusom na javni prevoz, multimodalnosti i infrastrukturi za aktivnu mobilnost. Neophodno je uraditi strateški plan i strateška dokumenta kao što su:</w:t>
      </w:r>
    </w:p>
    <w:p w:rsidR="00E944C2" w:rsidRDefault="00F7666C" w:rsidP="00E36C81">
      <w:pPr>
        <w:pStyle w:val="Normal1"/>
        <w:numPr>
          <w:ilvl w:val="0"/>
          <w:numId w:val="5"/>
        </w:numPr>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Studija razvoja saobraćaja Glavnog grada,</w:t>
      </w:r>
    </w:p>
    <w:p w:rsidR="00E944C2" w:rsidRDefault="00F7666C" w:rsidP="00E36C81">
      <w:pPr>
        <w:pStyle w:val="Normal1"/>
        <w:numPr>
          <w:ilvl w:val="0"/>
          <w:numId w:val="5"/>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Studije i plana linija javnog gradskog i prigradskog prevoza putnika i auto-taksi prevoza putnika,</w:t>
      </w:r>
    </w:p>
    <w:p w:rsidR="00E944C2" w:rsidRDefault="00F7666C" w:rsidP="00E36C81">
      <w:pPr>
        <w:pStyle w:val="Normal1"/>
        <w:numPr>
          <w:ilvl w:val="0"/>
          <w:numId w:val="5"/>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Studija razvoja biciklizma i mikromobilnosti.</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Kako bi se zadovoljile postojeće i buduće potrebe stanovnika za mobilnošću, te obezbijedio bolji kvalitet života u gradu i okolini, potrebno je imati u vidu sljedeća načela:</w:t>
      </w:r>
    </w:p>
    <w:p w:rsidR="00E944C2" w:rsidRDefault="00F7666C" w:rsidP="00E36C81">
      <w:pPr>
        <w:pStyle w:val="Normal1"/>
        <w:numPr>
          <w:ilvl w:val="0"/>
          <w:numId w:val="6"/>
        </w:numP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atraktivne usluge javnog prevoza podržane multimodalnim pristupom i digitalizacijom,</w:t>
      </w:r>
    </w:p>
    <w:p w:rsidR="00E944C2" w:rsidRDefault="00F7666C" w:rsidP="00E36C81">
      <w:pPr>
        <w:pStyle w:val="Normal1"/>
        <w:numPr>
          <w:ilvl w:val="0"/>
          <w:numId w:val="6"/>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zdravija i bezbjednija mobilnost: veći naglasak na pješačenje, korištenju bicikla i mikromobilnosti,</w:t>
      </w:r>
    </w:p>
    <w:p w:rsidR="00E944C2" w:rsidRDefault="00F7666C" w:rsidP="00E36C81">
      <w:pPr>
        <w:pStyle w:val="Normal1"/>
        <w:numPr>
          <w:ilvl w:val="0"/>
          <w:numId w:val="6"/>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nulta stopa emisija iz logistike prevoza tereta i isporuka na posljednjem kilometru,</w:t>
      </w:r>
    </w:p>
    <w:p w:rsidR="00E944C2" w:rsidRDefault="00F7666C" w:rsidP="00E36C81">
      <w:pPr>
        <w:pStyle w:val="Normal1"/>
        <w:numPr>
          <w:ilvl w:val="0"/>
          <w:numId w:val="6"/>
        </w:numPr>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digitalizacija, inovacije i nove usluge mobilnosti.</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cilju razvoja pametne i održive mobilnosti neophodno je izvršiti investiranje u efikasniji javni prevoz kroz modernizaciju sistema, uvođenje električnih prevoznih sredstava, poboljšanje ponude, povećanje frekventnosti, cjenovne pristupačnosti i dostupnosti javnog prevoza, jačanje komunikacije sa građanima, razvoj aplikativnih rješenje i primjena inteligentnih transportnih sistema i pružanje informacija o prevozu u realnom vremenu.</w:t>
      </w:r>
    </w:p>
    <w:p w:rsidR="00E944C2" w:rsidRDefault="00F7666C" w:rsidP="00316155">
      <w:pPr>
        <w:pStyle w:val="Heading2"/>
        <w:jc w:val="both"/>
        <w:rPr>
          <w:highlight w:val="white"/>
        </w:rPr>
      </w:pPr>
      <w:bookmarkStart w:id="42" w:name="_Toc212039527"/>
      <w:r>
        <w:rPr>
          <w:highlight w:val="white"/>
        </w:rPr>
        <w:t>2.13. Vodosnabdijevanje i kanalizacija</w:t>
      </w:r>
      <w:bookmarkEnd w:id="42"/>
    </w:p>
    <w:p w:rsidR="00E944C2" w:rsidRDefault="00E944C2" w:rsidP="00316155">
      <w:pPr>
        <w:pStyle w:val="Normal1"/>
        <w:jc w:val="both"/>
        <w:rPr>
          <w:highlight w:val="white"/>
        </w:rPr>
      </w:pPr>
    </w:p>
    <w:p w:rsidR="00E944C2" w:rsidRDefault="00F7666C" w:rsidP="00316155">
      <w:pPr>
        <w:pStyle w:val="Heading3"/>
        <w:jc w:val="both"/>
      </w:pPr>
      <w:bookmarkStart w:id="43" w:name="_Toc212039528"/>
      <w:r>
        <w:t>2.13.1. Vodosnabdijevanje</w:t>
      </w:r>
      <w:bookmarkEnd w:id="43"/>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sistem organizovanog vodosnabdijevanja priključeno je oko 90% populacije Podgorice. Najveći dio stanovnika bez pristupa sistemu vodosnabdijevanja živi na seoskom području.</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Ukupna dužina snimljene vodovodne mreže na 30.09.2025. godine, za područje Glavnog grada Podgorica, iznosi 833.437 m.</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Radovima koji su se realizovali u 2014. godini tj. izgradnjom objekata hidro-tehničke infrastrukture na području Opštine Zeta i Opštine Tuzi, omogućeno je formiranje jedinstvenog sistema Podgorice, Opštine Zeta i Opštine Tuzi.</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Odlukom o privremenom uređenju odnosa Glavnog grada i Opštine Tuzi do konačne raspodjele imovine za stvaranje uslova za rad Opštine Tuzi („Službeni list CG – opštinski propisi“ br.047/21 od 31.12.2021. godine), DOO „Vodovod i kanalizacija“ Podgorica održava sve bunare i servisira obaveze za iste uz hlorizaciju vode koja se koristi za snabdijevanje vodom u Opštini Tuzi.</w:t>
      </w:r>
    </w:p>
    <w:p w:rsidR="00E944C2" w:rsidRDefault="00F7666C" w:rsidP="00E36C81">
      <w:pPr>
        <w:pStyle w:val="Normal1"/>
        <w:spacing w:before="240" w:after="0"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A.  Vodovodni sistem »Podgorica«</w:t>
      </w:r>
    </w:p>
    <w:p w:rsidR="00E944C2" w:rsidRDefault="00E944C2" w:rsidP="00E36C81">
      <w:pPr>
        <w:pStyle w:val="Normal1"/>
        <w:spacing w:after="0" w:line="276" w:lineRule="auto"/>
        <w:ind w:left="-40"/>
        <w:jc w:val="both"/>
        <w:rPr>
          <w:rFonts w:ascii="Times New Roman" w:eastAsia="Times New Roman" w:hAnsi="Times New Roman" w:cs="Times New Roman"/>
          <w:sz w:val="24"/>
          <w:szCs w:val="24"/>
        </w:rPr>
      </w:pPr>
    </w:p>
    <w:p w:rsidR="00E944C2" w:rsidRDefault="00F7666C" w:rsidP="00E36C81">
      <w:pPr>
        <w:pStyle w:val="Normal1"/>
        <w:spacing w:after="0" w:line="276" w:lineRule="auto"/>
        <w:ind w:left="100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»Mareza 1«  - pet pumpi ukupnog kapaciteta 550 l/s (80 l/s, 80 l/s, 130 l/s, 130 l/s, 130 l/s);</w:t>
      </w:r>
    </w:p>
    <w:p w:rsidR="00E944C2" w:rsidRDefault="00F7666C" w:rsidP="00E36C81">
      <w:pPr>
        <w:pStyle w:val="Normal1"/>
        <w:spacing w:after="0" w:line="276" w:lineRule="auto"/>
        <w:ind w:left="100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»Mareza 2«  - četiri pumpe radnog kapaciteta 960 l/s (3x320 l/s +1 rezervna pumpa od 320 l/s), a instalisanog 1600  l/s  (4 x 400 l/s);</w:t>
      </w:r>
    </w:p>
    <w:p w:rsidR="00E944C2" w:rsidRDefault="00F7666C" w:rsidP="00E36C81">
      <w:pPr>
        <w:pStyle w:val="Normal1"/>
        <w:spacing w:after="0" w:line="276" w:lineRule="auto"/>
        <w:ind w:left="100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»Zagorič«  -  pet bunara radnog kapaciteta 500 l/s  (145 l/s,60 l/s,125 l/s,90 l/s, 80 l/s), a instalisanog 625 l/s (125 l/s, 60 l/s, 125 l/s, 90 l/s, 145 l/s, 80 l/s);</w:t>
      </w:r>
    </w:p>
    <w:p w:rsidR="00E944C2" w:rsidRDefault="00F7666C" w:rsidP="00E36C81">
      <w:pPr>
        <w:pStyle w:val="Normal1"/>
        <w:spacing w:after="0" w:line="276" w:lineRule="auto"/>
        <w:ind w:left="100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»Ćemovsko polje« - pet bunara kapaciteta 410 l/s (70 l/s, 50 l/s, 70 l/s, 110 l/s,110 l/s)</w:t>
      </w:r>
    </w:p>
    <w:p w:rsidR="00E944C2" w:rsidRDefault="00F7666C" w:rsidP="00E36C81">
      <w:pPr>
        <w:pStyle w:val="Normal1"/>
        <w:spacing w:after="0" w:line="276" w:lineRule="auto"/>
        <w:ind w:left="100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»Dinoša« - jedan bunar kapaciteta 60 – 70 l/s.</w:t>
      </w:r>
    </w:p>
    <w:p w:rsidR="00E944C2" w:rsidRDefault="00E944C2" w:rsidP="00E36C81">
      <w:pPr>
        <w:pStyle w:val="Normal1"/>
        <w:spacing w:after="0" w:line="276" w:lineRule="auto"/>
        <w:ind w:left="640"/>
        <w:jc w:val="both"/>
        <w:rPr>
          <w:rFonts w:ascii="Times New Roman" w:eastAsia="Times New Roman" w:hAnsi="Times New Roman" w:cs="Times New Roman"/>
          <w:sz w:val="24"/>
          <w:szCs w:val="24"/>
        </w:rPr>
      </w:pP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Vodovodni sistem Podgorice raspolaže sa rezervoarima, ukupnog kapaciteta 6.800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 i to:</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pacing w:after="0" w:line="276" w:lineRule="auto"/>
        <w:ind w:left="1080" w:hanging="360"/>
        <w:jc w:val="both"/>
        <w:rPr>
          <w:rFonts w:ascii="Times New Roman" w:eastAsia="Times New Roman" w:hAnsi="Times New Roman" w:cs="Times New Roman"/>
          <w:sz w:val="24"/>
          <w:szCs w:val="24"/>
          <w:vertAlign w:val="superscript"/>
        </w:rPr>
      </w:pPr>
      <w:r>
        <w:rPr>
          <w:rFonts w:ascii="Arial" w:eastAsia="Arial" w:hAnsi="Arial" w:cs="Arial"/>
          <w:sz w:val="24"/>
          <w:szCs w:val="24"/>
        </w:rPr>
        <w:t>-</w:t>
      </w:r>
      <w:r>
        <w:rPr>
          <w:rFonts w:ascii="Times New Roman" w:eastAsia="Times New Roman" w:hAnsi="Times New Roman" w:cs="Times New Roman"/>
          <w:sz w:val="24"/>
          <w:szCs w:val="24"/>
        </w:rPr>
        <w:t>Rezervoar “Ljubović“, kapaciteta 3.000 m</w:t>
      </w:r>
      <w:r>
        <w:rPr>
          <w:rFonts w:ascii="Times New Roman" w:eastAsia="Times New Roman" w:hAnsi="Times New Roman" w:cs="Times New Roman"/>
          <w:sz w:val="24"/>
          <w:szCs w:val="24"/>
          <w:vertAlign w:val="superscript"/>
        </w:rPr>
        <w:t>3</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vertAlign w:val="superscript"/>
        </w:rPr>
      </w:pPr>
      <w:r>
        <w:rPr>
          <w:rFonts w:ascii="Arial" w:eastAsia="Arial" w:hAnsi="Arial" w:cs="Arial"/>
          <w:sz w:val="24"/>
          <w:szCs w:val="24"/>
        </w:rPr>
        <w:t>-</w:t>
      </w:r>
      <w:r>
        <w:rPr>
          <w:rFonts w:ascii="Times New Roman" w:eastAsia="Times New Roman" w:hAnsi="Times New Roman" w:cs="Times New Roman"/>
          <w:sz w:val="24"/>
          <w:szCs w:val="24"/>
        </w:rPr>
        <w:t>Rezervoar “Gorica“, kapaciteta 1.200 m</w:t>
      </w:r>
      <w:r>
        <w:rPr>
          <w:rFonts w:ascii="Times New Roman" w:eastAsia="Times New Roman" w:hAnsi="Times New Roman" w:cs="Times New Roman"/>
          <w:sz w:val="24"/>
          <w:szCs w:val="24"/>
          <w:vertAlign w:val="superscript"/>
        </w:rPr>
        <w:t>3.</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vertAlign w:val="superscript"/>
        </w:rPr>
      </w:pPr>
      <w:r>
        <w:rPr>
          <w:rFonts w:ascii="Arial" w:eastAsia="Arial" w:hAnsi="Arial" w:cs="Arial"/>
          <w:sz w:val="24"/>
          <w:szCs w:val="24"/>
        </w:rPr>
        <w:t>-</w:t>
      </w:r>
      <w:r>
        <w:rPr>
          <w:rFonts w:ascii="Times New Roman" w:eastAsia="Times New Roman" w:hAnsi="Times New Roman" w:cs="Times New Roman"/>
          <w:sz w:val="24"/>
          <w:szCs w:val="24"/>
        </w:rPr>
        <w:t>Rezervoar Orlovina, kapaciteta 2.000 m</w:t>
      </w:r>
      <w:r>
        <w:rPr>
          <w:rFonts w:ascii="Times New Roman" w:eastAsia="Times New Roman" w:hAnsi="Times New Roman" w:cs="Times New Roman"/>
          <w:sz w:val="24"/>
          <w:szCs w:val="24"/>
          <w:vertAlign w:val="superscript"/>
        </w:rPr>
        <w:t>3</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u w:val="single"/>
        </w:rPr>
      </w:pPr>
      <w:r>
        <w:rPr>
          <w:rFonts w:ascii="Arial" w:eastAsia="Arial" w:hAnsi="Arial" w:cs="Arial"/>
          <w:sz w:val="24"/>
          <w:szCs w:val="24"/>
        </w:rPr>
        <w:t>-</w:t>
      </w:r>
      <w:r>
        <w:rPr>
          <w:rFonts w:ascii="Times New Roman" w:eastAsia="Times New Roman" w:hAnsi="Times New Roman" w:cs="Times New Roman"/>
          <w:sz w:val="24"/>
          <w:szCs w:val="24"/>
        </w:rPr>
        <w:t>Rezervoar Kakaricka gora, kapaciteta 600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E944C2" w:rsidRDefault="00F7666C">
      <w:pPr>
        <w:pStyle w:val="Normal1"/>
        <w:spacing w:before="240" w:after="0" w:line="276" w:lineRule="auto"/>
        <w:jc w:val="both"/>
        <w:rPr>
          <w:rFonts w:ascii="Times New Roman" w:eastAsia="Times New Roman" w:hAnsi="Times New Roman" w:cs="Times New Roman"/>
          <w:sz w:val="24"/>
          <w:szCs w:val="24"/>
          <w:u w:val="single"/>
        </w:rPr>
      </w:pPr>
      <w:r>
        <w:rPr>
          <w:rFonts w:ascii="Times New Roman" w:eastAsia="Times New Roman" w:hAnsi="Times New Roman" w:cs="Times New Roman"/>
          <w:sz w:val="24"/>
          <w:szCs w:val="24"/>
          <w:u w:val="single"/>
        </w:rPr>
        <w:t>B.</w:t>
      </w:r>
      <w:r>
        <w:rPr>
          <w:rFonts w:ascii="Times New Roman" w:eastAsia="Times New Roman" w:hAnsi="Times New Roman" w:cs="Times New Roman"/>
          <w:sz w:val="24"/>
          <w:szCs w:val="24"/>
          <w:u w:val="single"/>
        </w:rPr>
        <w:tab/>
        <w:t>Vodovodni sistem »Tuzi«</w:t>
      </w:r>
    </w:p>
    <w:p w:rsidR="00E944C2" w:rsidRDefault="00E944C2">
      <w:pPr>
        <w:pStyle w:val="Normal1"/>
        <w:spacing w:before="240" w:after="0" w:line="276" w:lineRule="auto"/>
        <w:jc w:val="both"/>
        <w:rPr>
          <w:rFonts w:ascii="Times New Roman" w:eastAsia="Times New Roman" w:hAnsi="Times New Roman" w:cs="Times New Roman"/>
          <w:sz w:val="24"/>
          <w:szCs w:val="24"/>
          <w:u w:val="single"/>
        </w:rPr>
      </w:pP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»Tuzi«</w:t>
      </w:r>
      <w:r>
        <w:rPr>
          <w:rFonts w:ascii="Times New Roman" w:eastAsia="Times New Roman" w:hAnsi="Times New Roman" w:cs="Times New Roman"/>
          <w:sz w:val="24"/>
          <w:szCs w:val="24"/>
        </w:rPr>
        <w:tab/>
        <w:t xml:space="preserve">-   jedan bunar, kapaciteta  12 l/s; </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»Milješ«   -   tri bunara, kapaciteta 78 l/s (43 l/s, 20 l/s,15 l/s);</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PS »Vuksanlekići« -  dva bunara, kapaciteta 130 l/s (45 l/s, 85 l/s).</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Ovaj sistem raspolaže sa sledećim rezervoarima:</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Rezervoar „Vuksanlekići“, kapaciteta 800 m³</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Rezervoar „Milješ“, kapaciteta 200 m³</w:t>
      </w:r>
    </w:p>
    <w:p w:rsidR="00E944C2" w:rsidRDefault="00F7666C">
      <w:pPr>
        <w:pStyle w:val="Normal1"/>
        <w:spacing w:after="0" w:line="276" w:lineRule="auto"/>
        <w:ind w:left="1080" w:hanging="360"/>
        <w:jc w:val="both"/>
        <w:rPr>
          <w:rFonts w:ascii="Times New Roman" w:eastAsia="Times New Roman" w:hAnsi="Times New Roman" w:cs="Times New Roman"/>
          <w:sz w:val="24"/>
          <w:szCs w:val="24"/>
        </w:rPr>
      </w:pPr>
      <w:r>
        <w:rPr>
          <w:rFonts w:ascii="Arial" w:eastAsia="Arial" w:hAnsi="Arial" w:cs="Arial"/>
          <w:sz w:val="24"/>
          <w:szCs w:val="24"/>
        </w:rPr>
        <w:t>-</w:t>
      </w:r>
      <w:r>
        <w:rPr>
          <w:rFonts w:ascii="Times New Roman" w:eastAsia="Times New Roman" w:hAnsi="Times New Roman" w:cs="Times New Roman"/>
          <w:sz w:val="24"/>
          <w:szCs w:val="24"/>
        </w:rPr>
        <w:t>Rezervoar „Lekovića gora“, kapaciteta 800 m³</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u w:val="single"/>
        </w:rPr>
        <w:t xml:space="preserve">C. Vodovodni sistem »Dinoša« </w:t>
      </w:r>
      <w:r>
        <w:rPr>
          <w:rFonts w:ascii="Times New Roman" w:eastAsia="Times New Roman" w:hAnsi="Times New Roman" w:cs="Times New Roman"/>
          <w:sz w:val="24"/>
          <w:szCs w:val="24"/>
        </w:rPr>
        <w:t>-  jedan bunar, kapaciteta 28 l/s</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Ovaj sistem raspolaže sa rezervoarom, kapaciteta 400 m</w:t>
      </w:r>
      <w:r>
        <w:rPr>
          <w:rFonts w:ascii="Times New Roman" w:eastAsia="Times New Roman" w:hAnsi="Times New Roman" w:cs="Times New Roman"/>
          <w:sz w:val="24"/>
          <w:szCs w:val="24"/>
          <w:vertAlign w:val="superscript"/>
        </w:rPr>
        <w:t>3</w:t>
      </w:r>
      <w:r>
        <w:rPr>
          <w:rFonts w:ascii="Times New Roman" w:eastAsia="Times New Roman" w:hAnsi="Times New Roman" w:cs="Times New Roman"/>
          <w:sz w:val="24"/>
          <w:szCs w:val="24"/>
        </w:rPr>
        <w:t>.</w:t>
      </w: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44" w:name="_Toc212039529"/>
      <w:r>
        <w:t>2.13.1.1.  Vodovodna mreža</w:t>
      </w:r>
      <w:bookmarkEnd w:id="44"/>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Jedan od osnovnih preduslova urednog vodosnabdijevanja je adekvatno održavanje vodovodne mreže. Procijenjena dužina primarne i sekundarne mreže, preko koje se distribuira voda do potrošača, iznosi cca 700 km primarne i 330 km sekundarne mreže, dok se dužina tercijarne mreže procjenjuje na cca 370 km. Ukupna procijenjena dužina vodovodne mreže na području vodovodnog sistema Podgorice iznosi cca 1.400 km</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Snimanje i ažuriranje katastra u digitalnoj formi vodovodnog sistema Podgorice, do sada je obuhvatilo ukupno 833.437 mvodovodne mreže.</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narednom periodu planiraju se sprovesti aktivnosti na saniranju i zamjeni pojedinih cjevovoda, kroz rekonstrukciju vodovodne mreže. Prioritet za zamjenu su azbest-cementne cijevi stare oko 40 godina. U planu je da se svake godine zamijeni po 5.000 m ovih cijevi.                 </w:t>
      </w:r>
      <w:r>
        <w:rPr>
          <w:rFonts w:ascii="Times New Roman" w:eastAsia="Times New Roman" w:hAnsi="Times New Roman" w:cs="Times New Roman"/>
          <w:sz w:val="24"/>
          <w:szCs w:val="24"/>
        </w:rPr>
        <w:tab/>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Osim azbest-cementnih cijevi, i PVC kao materijal je izbačen iz upotrebe i takođe je potrebno izvršiti i njegovu zamijenu u narednom periodu.</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Kada je riječ o vodovodnoj infrastrukturi u Glavnom gradu osnovni nedostatak su gubici na vodovodnoj mreži, koji su na osnovu podataka o potisnutoj i fakturisanoj vodi u 2024.godini iznosili oko 54%. Tehnički gubici za razliku od finansijskih su posledica nedovoljnog rezervoarskog prostora i činjenice da se sva voda sa izvorišta direktno pumpa u sistem. Izgradnja rezervoara bi izjednačila neravnomjernosti potrošnje, a značajno doprijenijela uštedi potrošnje električne energije i boljem vodosnabdijevanju prigradskih naselja i djelova grada na višim kotama.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Drugi nedostatak vodovodnog sitema Podgorice je zastarjelost vodovodne mreže. Glavni cjevovodi su izgrađeni prije više od 50 godina, od čega je najveći procenat azbest-cementnih cjevovoda, oko 125km, odnosno oko 15.5% od ukupne dužine vodovodne mreže. Ovi cjevovodi se najvećim djelom nalaze u užoj gradskoj zoni, gdje zamjena istih iziskuje primjenu novih tehnologija jer klasična zamjena cjevovoda sa iskopom u toj zoni često nije primjenljiva. Izrada Studije izvodljivosti i Cost – benefit analize za projekat „Unapređenje efikasnosti vodosnadbijevanja zamjenom azbestno-cementnih cjevovoda na području Crne Gore“ u nadležnosti Ministarstva prostornog planiranja, urbanizma i državne imovine je u završnoj fazi.</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Zbog intenzivnog povećanja broj stanovnika u Glavnom gradu i intenzivne gradnje novih objekata i širenja naselja izražena je potreba za povećanjem vodoizvorišnih kapaciteta, a posebno nakon razgraničenja sa Opštinom Tuzi ova potreba će biti izraženija (npr. naselja Omerbožovići i Kakaricka gora). U toku je izrada Projekta istraživanja za izgradnju istražno-eksploatacionog bunara IEB-6 na izvorištu Ćemovsko polje.</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toku je masovno vraćanje mještana na seoska područja, koje je i stalnog i sezonskog karaktera, između ostalog u cilju razvoja stočarstva i poljoprivrede, te su i zahtjevi za vodosnabdijevanjem u većini bezvodnih seoskih naselja učestaliji. Trenutno najveći problem za održavanje postojećih seoskih vodovoda je udaljenost, a često i  nepristupačnost lokaciji, te potreba za stalnom kontrolom pa je s obzirom na ograničenost u stručnom kadru, nadogradnja i unapređenje postojećeg SCADA sistema budućnost u održavanju i praćenju stanja na glavnim i seoskim izvorištima, kao i na mreži. Nadogradnja SCADA sistema bi takođe omogućila sistemsko praćenje i upravljanje gubicima na mreži.</w:t>
      </w:r>
    </w:p>
    <w:p w:rsidR="00900D75" w:rsidRDefault="00900D75" w:rsidP="00E36C81">
      <w:pPr>
        <w:pStyle w:val="Normal1"/>
        <w:spacing w:before="240" w:after="0"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45" w:name="_Toc212039530"/>
      <w:r>
        <w:t>2.13.2. Kanalizacioni sistem</w:t>
      </w:r>
      <w:bookmarkEnd w:id="45"/>
    </w:p>
    <w:p w:rsidR="00E944C2" w:rsidRDefault="00E944C2" w:rsidP="00316155">
      <w:pPr>
        <w:pStyle w:val="Normal1"/>
        <w:jc w:val="both"/>
      </w:pPr>
    </w:p>
    <w:p w:rsidR="00E944C2" w:rsidRDefault="00F7666C" w:rsidP="00316155">
      <w:pPr>
        <w:pStyle w:val="Heading3"/>
        <w:jc w:val="both"/>
      </w:pPr>
      <w:bookmarkStart w:id="46" w:name="_Toc212039531"/>
      <w:r>
        <w:t>2.13.2.1. Fekalna kanalizacija</w:t>
      </w:r>
      <w:bookmarkEnd w:id="46"/>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Kanalizacioni sistem u Podgorici je separatni, a ovo Društvo održava mrežu fekalne kanalizacije, kao i Postrojenje za prečišćavanje otpadnih voda. Snimljena dužina, na dan 30.09.2025. godine, fekalne kanalizacione mreže je 253.052 m i 8.300 šahtova. Ažuriranje baze podataka katastra instalacija se odvija na dnevnom nivou.</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Održavanje fekalne kanalizacije vrši se pomoću visokopritisnih vozila, malih i velikih, na kompletnom području Glavnog grada i susjednih opština. Osnovna obaveza „Vodovod i kanalizacija“ d.o.o. Podgorica jeste održavanje uličnih kolektora fekalne kanalizacije, dok je održavanje  kanalizacionih priključaka  u nadležnosti korisnika.</w:t>
      </w:r>
    </w:p>
    <w:p w:rsidR="00E944C2" w:rsidRDefault="00E944C2" w:rsidP="00E36C81">
      <w:pPr>
        <w:pStyle w:val="Normal1"/>
        <w:spacing w:before="240" w:after="0"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47" w:name="_Toc212039532"/>
      <w:r>
        <w:t>2.13.2.2. Postrojenje za prečišćavanje otpadnih voda</w:t>
      </w:r>
      <w:bookmarkEnd w:id="47"/>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Postojeće Postrojenje za prečišćavanje otpadnih voda grada Podgorice je izgrađeno prije 47 godina i tehnički je zastarjelo. Ovo Postrojenje ne može obezbijediti najsavremenije prečišćavanje otpadnih voda, kako u pogledu projektovanog kapaciteta, tako i u pogledu efikasnosti prečišćavanja, naročito kada se radi o uklanjanju nutrijenata. Kapacitet postrojenja je 55.000 ES, a trenutno je na gradsku kanalizaciju priključeno oko 150.000 ES, što ukazuje na preopterećenost Postrojenja, zbog njegovog nedovoljnog kapaciteta i nemogućnosti da na zadovoljavajući način prečisti sve otpadne vode  koje dotiču.      </w:t>
      </w:r>
      <w:r>
        <w:rPr>
          <w:rFonts w:ascii="Times New Roman" w:eastAsia="Times New Roman" w:hAnsi="Times New Roman" w:cs="Times New Roman"/>
          <w:sz w:val="24"/>
          <w:szCs w:val="24"/>
        </w:rPr>
        <w:tab/>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2025. godini planirano je da se na Postrojenje dovede cca 12. 162.542 m3 otpadnih voda, od čega je u planu da se biološki prečisti 5.878.561 m3 tj. 48,30%, a mehanički 6.283.981 m3 tj. 51,70 % otpadnih voda. Postrojenje dodatno „opterećuju” industrijske otpadne vode, koje se ispuštaju u kanalizaciju, jer je isto projektovano i izvedeno za prečišćavanje komunalnih otpadnih voda.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činjenicu da „ViK” DOO Podgorica i Glavni grad – Podgorica realizuju Projekat „Sakupljanje i prečišćavanje otpadnih voda u Podgorici”, čija je osnovna komponenta novi Sistem za prečišćavanje otpadnih voda kapaciteta 240.000 ES, u narednom periodu na postojećem Postrojenju nijesu planirani veći investicioni zahvati, osim redovnog tekućeg održavanja.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2025. godini je neophodno sprovesti sanaciju oštećenog primarnog i sekundarnog digestora na PPOV-u u iznosu od 60.000 eura, kao i zamjenu upravljačke opreme, hardvera i SCADA sistema u iznosu od 55.000 eura.</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48" w:name="_Toc212039533"/>
      <w:r>
        <w:t>2.13.3. Atmosferska kanalizacija</w:t>
      </w:r>
      <w:bookmarkEnd w:id="48"/>
    </w:p>
    <w:p w:rsidR="00E944C2" w:rsidRDefault="00E944C2" w:rsidP="00316155">
      <w:pPr>
        <w:pStyle w:val="Normal1"/>
        <w:jc w:val="both"/>
      </w:pP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dan 30.09.2025. godine. za prikupljanje i odvođenje atmosferskih voda u Podgorici je izgrađeno i katastarski snimljeno 186.498 m kanalizacione mreže, 901 šahta i 9.011 slivnika.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"Vodovod i kanalizacija" d.o.o. Podgorica u 2003. godini, dobilo je na održavanje sistema atmosferske kanalizacije i u skladu sa tim vrši redovno ispiranje i otčepljavanje atmosfeskih kolektora, kao i njihovu registraciju kroz katastar instalacija.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Održavanje sistema atmosferske kanalizacije Društvo vrši specijalizovanim vozilima.</w:t>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Sredstva za održavanje ulične mreže i kolektora atmosferske kanalizacije se obezbjeđuju iz Budžeta Glavnog grada.</w:t>
      </w:r>
    </w:p>
    <w:p w:rsidR="00AD30E8" w:rsidRDefault="00AD30E8" w:rsidP="00E36C81">
      <w:pPr>
        <w:pStyle w:val="Normal1"/>
        <w:spacing w:before="240" w:after="0"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49" w:name="_Toc212039534"/>
      <w:r>
        <w:t>2.13.4. Broj potrošača</w:t>
      </w:r>
      <w:bookmarkEnd w:id="49"/>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dan 15.10.2025. godine, ukupno je bilo 94.630 aktivnih potrošača priključenih na vodovodnu mrežu, a pregled po kategorijama dat je u tabeli koja slijedi:</w:t>
      </w:r>
    </w:p>
    <w:p w:rsidR="00900D75" w:rsidRDefault="00900D75" w:rsidP="00E36C81">
      <w:pPr>
        <w:pStyle w:val="Normal1"/>
        <w:spacing w:before="240" w:after="0" w:line="276" w:lineRule="auto"/>
        <w:jc w:val="both"/>
        <w:rPr>
          <w:rFonts w:ascii="Times New Roman" w:eastAsia="Times New Roman" w:hAnsi="Times New Roman" w:cs="Times New Roman"/>
          <w:sz w:val="24"/>
          <w:szCs w:val="24"/>
        </w:rPr>
      </w:pPr>
    </w:p>
    <w:p w:rsidR="00900D75" w:rsidRDefault="00900D75"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17. Broj aktivnih potrošača priključenih na vodovodnu mrežu</w:t>
      </w:r>
    </w:p>
    <w:tbl>
      <w:tblPr>
        <w:tblStyle w:val="61"/>
        <w:tblW w:w="7547" w:type="dxa"/>
        <w:tblInd w:w="100" w:type="dxa"/>
        <w:tblLayout w:type="fixed"/>
        <w:tblLook w:val="04A0"/>
      </w:tblPr>
      <w:tblGrid>
        <w:gridCol w:w="4287"/>
        <w:gridCol w:w="3260"/>
      </w:tblGrid>
      <w:tr w:rsidR="00E944C2" w:rsidTr="00900D75">
        <w:trPr>
          <w:cantSplit/>
          <w:trHeight w:val="423"/>
          <w:tblHeader/>
        </w:trPr>
        <w:tc>
          <w:tcPr>
            <w:tcW w:w="4287"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Kategorije potrošača</w:t>
            </w:r>
          </w:p>
        </w:tc>
        <w:tc>
          <w:tcPr>
            <w:tcW w:w="3260"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Brojpotrošača</w:t>
            </w:r>
          </w:p>
        </w:tc>
      </w:tr>
      <w:tr w:rsidR="00E944C2" w:rsidTr="00900D75">
        <w:trPr>
          <w:cantSplit/>
          <w:trHeight w:val="423"/>
          <w:tblHeader/>
        </w:trPr>
        <w:tc>
          <w:tcPr>
            <w:tcW w:w="428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Pravna lica</w:t>
            </w:r>
          </w:p>
        </w:tc>
        <w:tc>
          <w:tcPr>
            <w:tcW w:w="326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9.007</w:t>
            </w:r>
          </w:p>
        </w:tc>
      </w:tr>
      <w:tr w:rsidR="00E944C2" w:rsidTr="00900D75">
        <w:trPr>
          <w:cantSplit/>
          <w:trHeight w:val="423"/>
          <w:tblHeader/>
        </w:trPr>
        <w:tc>
          <w:tcPr>
            <w:tcW w:w="428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Privatne kuće</w:t>
            </w:r>
          </w:p>
        </w:tc>
        <w:tc>
          <w:tcPr>
            <w:tcW w:w="326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30.532</w:t>
            </w:r>
          </w:p>
        </w:tc>
      </w:tr>
      <w:tr w:rsidR="00E944C2" w:rsidTr="00900D75">
        <w:trPr>
          <w:cantSplit/>
          <w:trHeight w:val="423"/>
          <w:tblHeader/>
        </w:trPr>
        <w:tc>
          <w:tcPr>
            <w:tcW w:w="428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Stambene zgrade</w:t>
            </w:r>
          </w:p>
        </w:tc>
        <w:tc>
          <w:tcPr>
            <w:tcW w:w="326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54.071</w:t>
            </w:r>
          </w:p>
        </w:tc>
      </w:tr>
      <w:tr w:rsidR="00E944C2" w:rsidTr="00900D75">
        <w:trPr>
          <w:cantSplit/>
          <w:trHeight w:val="423"/>
          <w:tblHeader/>
        </w:trPr>
        <w:tc>
          <w:tcPr>
            <w:tcW w:w="4287"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Ukupno</w:t>
            </w:r>
          </w:p>
        </w:tc>
        <w:tc>
          <w:tcPr>
            <w:tcW w:w="3260"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94.630</w:t>
            </w:r>
          </w:p>
        </w:tc>
      </w:tr>
    </w:tbl>
    <w:p w:rsidR="00E944C2" w:rsidRDefault="00F7666C" w:rsidP="00E36C81">
      <w:pPr>
        <w:pStyle w:val="Normal1"/>
        <w:spacing w:before="240" w:after="0"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Interna baza</w:t>
      </w:r>
      <w:r>
        <w:rPr>
          <w:rFonts w:ascii="Times New Roman" w:eastAsia="Times New Roman" w:hAnsi="Times New Roman" w:cs="Times New Roman"/>
          <w:sz w:val="24"/>
          <w:szCs w:val="24"/>
        </w:rPr>
        <w:tab/>
      </w:r>
    </w:p>
    <w:p w:rsidR="00E944C2" w:rsidRDefault="00F7666C" w:rsidP="00E36C81">
      <w:pPr>
        <w:pStyle w:val="Normal1"/>
        <w:spacing w:before="24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dan 15.10.2025. godine, na fekalnu kanalizaciju bilo je priključeno 61.509 aktivnih potrošača.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18. Broj aktivnih potrošača priključenih na sistem fekalne kanalizacije</w:t>
      </w:r>
    </w:p>
    <w:tbl>
      <w:tblPr>
        <w:tblStyle w:val="60"/>
        <w:tblW w:w="7534" w:type="dxa"/>
        <w:tblInd w:w="100" w:type="dxa"/>
        <w:tblLayout w:type="fixed"/>
        <w:tblLook w:val="04A0"/>
      </w:tblPr>
      <w:tblGrid>
        <w:gridCol w:w="4296"/>
        <w:gridCol w:w="3238"/>
      </w:tblGrid>
      <w:tr w:rsidR="00E944C2">
        <w:trPr>
          <w:cantSplit/>
          <w:trHeight w:val="384"/>
          <w:tblHeader/>
        </w:trPr>
        <w:tc>
          <w:tcPr>
            <w:tcW w:w="4296" w:type="dxa"/>
            <w:tcBorders>
              <w:top w:val="single" w:sz="6" w:space="0" w:color="000000"/>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Kategorije potrošača</w:t>
            </w:r>
          </w:p>
        </w:tc>
        <w:tc>
          <w:tcPr>
            <w:tcW w:w="3238" w:type="dxa"/>
            <w:tcBorders>
              <w:top w:val="single" w:sz="6" w:space="0" w:color="000000"/>
              <w:left w:val="nil"/>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potrošača</w:t>
            </w:r>
          </w:p>
        </w:tc>
      </w:tr>
      <w:tr w:rsidR="00E944C2">
        <w:trPr>
          <w:cantSplit/>
          <w:trHeight w:val="384"/>
          <w:tblHeader/>
        </w:trPr>
        <w:tc>
          <w:tcPr>
            <w:tcW w:w="429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Pravna lica</w:t>
            </w:r>
          </w:p>
        </w:tc>
        <w:tc>
          <w:tcPr>
            <w:tcW w:w="3238"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6.349</w:t>
            </w:r>
          </w:p>
        </w:tc>
      </w:tr>
      <w:tr w:rsidR="00E944C2">
        <w:trPr>
          <w:cantSplit/>
          <w:trHeight w:val="384"/>
          <w:tblHeader/>
        </w:trPr>
        <w:tc>
          <w:tcPr>
            <w:tcW w:w="429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Privatne kuće</w:t>
            </w:r>
          </w:p>
        </w:tc>
        <w:tc>
          <w:tcPr>
            <w:tcW w:w="3238"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3.937</w:t>
            </w:r>
          </w:p>
        </w:tc>
      </w:tr>
      <w:tr w:rsidR="00E944C2">
        <w:trPr>
          <w:cantSplit/>
          <w:trHeight w:val="384"/>
          <w:tblHeader/>
        </w:trPr>
        <w:tc>
          <w:tcPr>
            <w:tcW w:w="429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Stambene zgrade</w:t>
            </w:r>
          </w:p>
        </w:tc>
        <w:tc>
          <w:tcPr>
            <w:tcW w:w="3238"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51.223</w:t>
            </w:r>
          </w:p>
        </w:tc>
      </w:tr>
      <w:tr w:rsidR="00E944C2">
        <w:trPr>
          <w:cantSplit/>
          <w:trHeight w:val="384"/>
          <w:tblHeader/>
        </w:trPr>
        <w:tc>
          <w:tcPr>
            <w:tcW w:w="4296" w:type="dxa"/>
            <w:tcBorders>
              <w:top w:val="nil"/>
              <w:left w:val="single" w:sz="6" w:space="0" w:color="000000"/>
              <w:bottom w:val="single" w:sz="6" w:space="0" w:color="000000"/>
              <w:right w:val="single" w:sz="6" w:space="0" w:color="000000"/>
            </w:tcBorders>
            <w:tcMar>
              <w:top w:w="0" w:type="dxa"/>
              <w:left w:w="100" w:type="dxa"/>
              <w:bottom w:w="0" w:type="dxa"/>
              <w:right w:w="100" w:type="dxa"/>
            </w:tcMar>
          </w:tcPr>
          <w:p w:rsidR="00E944C2" w:rsidRDefault="00F7666C" w:rsidP="00E36C81">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Ukupno</w:t>
            </w:r>
          </w:p>
        </w:tc>
        <w:tc>
          <w:tcPr>
            <w:tcW w:w="3238" w:type="dxa"/>
            <w:tcBorders>
              <w:top w:val="nil"/>
              <w:left w:val="nil"/>
              <w:bottom w:val="single" w:sz="6" w:space="0" w:color="000000"/>
              <w:right w:val="single" w:sz="6" w:space="0" w:color="000000"/>
            </w:tcBorders>
            <w:tcMar>
              <w:top w:w="0" w:type="dxa"/>
              <w:left w:w="100" w:type="dxa"/>
              <w:bottom w:w="0" w:type="dxa"/>
              <w:right w:w="100" w:type="dxa"/>
            </w:tcMar>
          </w:tcPr>
          <w:p w:rsidR="00E944C2" w:rsidRDefault="00F7666C" w:rsidP="00316155">
            <w:pPr>
              <w:pStyle w:val="Normal1"/>
              <w:spacing w:before="12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61.509</w:t>
            </w:r>
          </w:p>
        </w:tc>
      </w:tr>
    </w:tbl>
    <w:p w:rsidR="00E944C2" w:rsidRDefault="00F7666C" w:rsidP="00E36C81">
      <w:pPr>
        <w:pStyle w:val="Normal1"/>
        <w:spacing w:before="240" w:after="0" w:line="276"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Interna baza</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Heading2"/>
        <w:jc w:val="both"/>
      </w:pPr>
      <w:bookmarkStart w:id="50" w:name="_Toc212039535"/>
      <w:r>
        <w:t>2.14.  Energetska efikasnost</w:t>
      </w:r>
      <w:bookmarkEnd w:id="50"/>
    </w:p>
    <w:p w:rsidR="00E944C2" w:rsidRDefault="00E944C2" w:rsidP="00316155">
      <w:pPr>
        <w:pStyle w:val="Normal1"/>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Podgorica se suočava s brojnim izazovima u pogledu energetske efikasnosti, naročito u sektorima </w:t>
      </w:r>
      <w:r>
        <w:rPr>
          <w:rFonts w:ascii="Times New Roman" w:eastAsia="Times New Roman" w:hAnsi="Times New Roman" w:cs="Times New Roman"/>
          <w:sz w:val="24"/>
          <w:szCs w:val="24"/>
          <w:highlight w:val="white"/>
        </w:rPr>
        <w:t xml:space="preserve">zgradarstva </w:t>
      </w:r>
      <w:r>
        <w:rPr>
          <w:rFonts w:ascii="Times New Roman" w:eastAsia="Times New Roman" w:hAnsi="Times New Roman" w:cs="Times New Roman"/>
          <w:sz w:val="24"/>
          <w:szCs w:val="24"/>
        </w:rPr>
        <w:t>i saobraćaja.</w:t>
      </w: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900D75" w:rsidRDefault="00900D75" w:rsidP="00E36C81">
      <w:pPr>
        <w:pStyle w:val="Normal1"/>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Grafik broj 2. Potrošnja energije po sektorima</w:t>
      </w:r>
    </w:p>
    <w:p w:rsidR="00E944C2" w:rsidRDefault="00290C90" w:rsidP="00E36C81">
      <w:pPr>
        <w:pStyle w:val="Normal1"/>
        <w:jc w:val="both"/>
        <w:rPr>
          <w:rFonts w:ascii="Times New Roman" w:eastAsia="Times New Roman" w:hAnsi="Times New Roman" w:cs="Times New Roman"/>
          <w:sz w:val="24"/>
          <w:szCs w:val="24"/>
        </w:rPr>
      </w:pPr>
      <w:r w:rsidRPr="00290C90">
        <w:rPr>
          <w:noProof/>
        </w:rPr>
        <w:pict>
          <v:shape id="Freeform 2" o:spid="_x0000_s1026" style="position:absolute;left:0;text-align:left;margin-left:23.25pt;margin-top:194.7pt;width:400.5pt;height:18.55pt;z-index:-251655168;visibility:visible" coordsize="5076825,1225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" adj="-11796480,,5400" path="m,l,122555r5076825,l5076825,,,xe" stroked="f">
            <v:stroke joinstyle="miter"/>
            <v:formulas/>
            <v:path arrowok="t" o:extrusionok="f" o:connecttype="segments" textboxrect="0,0,5076825,122555"/>
            <v:textbox inset="7pt,3pt,7pt,3pt">
              <w:txbxContent>
                <w:p w:rsidR="006A0398" w:rsidRDefault="006A0398">
                  <w:pPr>
                    <w:spacing w:after="0" w:line="240" w:lineRule="auto"/>
                    <w:jc w:val="both"/>
                  </w:pPr>
                  <w:r>
                    <w:rPr>
                      <w:rFonts w:ascii="Tahoma" w:eastAsia="Tahoma" w:hAnsi="Tahoma" w:cs="Tahoma"/>
                      <w:i/>
                      <w:color w:val="000000"/>
                      <w:sz w:val="16"/>
                    </w:rPr>
                    <w:t xml:space="preserve"> Pregled potrošnje energije (MWh) po podsektorima u 2019. god.</w:t>
                  </w:r>
                </w:p>
              </w:txbxContent>
            </v:textbox>
          </v:shape>
        </w:pict>
      </w:r>
      <w:r w:rsidR="00F7666C">
        <w:rPr>
          <w:noProof/>
          <w:lang w:val="en-US" w:eastAsia="en-US"/>
        </w:rPr>
        <w:drawing>
          <wp:anchor distT="0" distB="0" distL="114300" distR="114300" simplePos="0" relativeHeight="251660288" behindDoc="0" locked="0" layoutInCell="1" allowOverlap="1">
            <wp:simplePos x="0" y="0"/>
            <wp:positionH relativeFrom="column">
              <wp:posOffset>0</wp:posOffset>
            </wp:positionH>
            <wp:positionV relativeFrom="paragraph">
              <wp:posOffset>4445</wp:posOffset>
            </wp:positionV>
            <wp:extent cx="5943600" cy="2181225"/>
            <wp:effectExtent l="0" t="0" r="0" b="0"/>
            <wp:wrapTopAndBottom/>
            <wp:docPr id="14" name="image14.png"/>
            <wp:cNvGraphicFramePr/>
            <a:graphic xmlns:a="http://schemas.openxmlformats.org/drawingml/2006/main">
              <a:graphicData uri="http://schemas.openxmlformats.org/drawingml/2006/picture">
                <pic:pic xmlns:pic="http://schemas.openxmlformats.org/drawingml/2006/picture">
                  <pic:nvPicPr>
                    <pic:cNvPr id="14" name="image14.png"/>
                    <pic:cNvPicPr preferRelativeResize="0"/>
                  </pic:nvPicPr>
                  <pic:blipFill>
                    <a:blip r:embed="rId12" cstate="print"/>
                    <a:srcRect/>
                    <a:stretch>
                      <a:fillRect/>
                    </a:stretch>
                  </pic:blipFill>
                  <pic:spPr>
                    <a:xfrm>
                      <a:off x="0" y="0"/>
                      <a:ext cx="5943600" cy="2181225"/>
                    </a:xfrm>
                    <a:prstGeom prst="rect">
                      <a:avLst/>
                    </a:prstGeom>
                  </pic:spPr>
                </pic:pic>
              </a:graphicData>
            </a:graphic>
          </wp:anchor>
        </w:drawing>
      </w:r>
    </w:p>
    <w:p w:rsidR="00E944C2" w:rsidRDefault="00E944C2" w:rsidP="00E36C81">
      <w:pPr>
        <w:pStyle w:val="Normal1"/>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Interna baza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Značajan problem predstavlja starost objekata, koji su većinom izgrađeni prije uvođenja savremenih standarda energetske efikasnosti. Te zgrade često imaju visoku potrošnju energije zbog neadekvatne izolacije, zastarjele tehnologije grijanja i hlađenja, te nedostatka energetski efikasnih prozora i vrata.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Monitoring i mjere povećanja energetske efikasnosti definisane su Programom poboljšanja energetske efikasnosti Glavnog grada. Međutim, ovim dokumentom su obuhvaćene isključivo javne zgrade na teritoriji grada Podgorice za koje lokalna samouprava u potpunosti snosi troškove energije i vode ili u kojima se nalaze institucije/privredna društva čiji osnivač je Skupština Glavnog grada, a svoje troškove izmiruju samostalno, kao i potrošnja električne energije za potrebe javnog osvjetljenja Glavnog grada, sistema vodosnabdijevanja i sistema otpadnih voda. Kontinuirano se sprovode mjere unaprjeđenja energetskih karakterisika ovih objekata kroz ugradnju efikasnije vanjske bravarije, novih sistema grijanja i hlađenja, ali i projektima ugradnje sistema proizvodnje električne eneergije iz obnovljivih izvora. </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bazi informacije iz Programa poboljšanja energetske efikasnosti Glavnog grada za period 2021-2025. godina, u strukturi svjetiljki javne rasvjete (439890 rasvjetnih tijela) najzastupljeniji oblik su LED svjetiljke sa preko 98% učešća u ukupnom broju svjetiljki, dok je preostalih 2% planirano za zamjenu u budućem periodu. Preostalih 2% po strukturi predstavljaju uglavnom natrijumove svjetiljke visokog pritiska. Mjerom je predviđena zamjena svih preostalih rasvjetnih tijela do 2030. godine, i uvođenje svjetiljki na solarni pogon.</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Glavni grad preko Agencije za stanovanje sprovodi akciju „50%-50%“ kojom je omogućeno sprovođenje mjera poboljšanja energetskih karakteristika starih objekata kolektivnog stanovanja. Akcija se sprovodi na način što Agencija izvodi radove i učestvuje sa 50% ukupnih troškova, dok ostatak finansira skupština etažnih vlasnika. U okiviru ovog projekta trenutno ne postoji sistem monitoringa u smislu ostvarenih ušteda. </w:t>
      </w:r>
    </w:p>
    <w:p w:rsidR="00E944C2" w:rsidRDefault="00E944C2" w:rsidP="00316155">
      <w:pPr>
        <w:pStyle w:val="Heading2"/>
        <w:jc w:val="both"/>
      </w:pPr>
    </w:p>
    <w:p w:rsidR="00E944C2" w:rsidRDefault="00F7666C" w:rsidP="00316155">
      <w:pPr>
        <w:pStyle w:val="Heading2"/>
        <w:jc w:val="both"/>
      </w:pPr>
      <w:bookmarkStart w:id="51" w:name="_Toc212039536"/>
      <w:r>
        <w:t>2.15. Informacione tehnologije</w:t>
      </w:r>
      <w:bookmarkEnd w:id="51"/>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Glavnom gradu Podgorici već godinama unazad progresivno se prihvata digitalizacija i koncept pametnog grada kako bi se unaprijedile javne usluge, urbano upravljanje i kvalitet života njenih stanovnika. Međutim, Grad se suočava sa nekoliko izazova koji ometaju punu realizaciju njegovog digitalnog i pametnog gradskog potencijala.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Značajan izazov predstavlja nedostatak integracije i interoperabilnosti između različitih digitalnih sistema u javnoj upravi. Ovi sistemi često rade nezavisno, ograničavajući njihovu ukupnu efikasnost i efektivnost. Stvaranje jedinstvenog digitalnog ekosistema je od suštinskog značaja za uspješno pružanje elektronskih usluga.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Povećanje javne svijesti i usvajanje digitalnih usluga takođe predstavlja izazov. Građani treba da su informisani o dostupnosti digitalnih usluga, ali i da posjeduju vještine da ih efikasno koriste.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druge strane, kako digitalizacija napreduje, sajber bezbjednost postaje sve važnija. Postojeće mjere sajber bezbjednosti moraju biti ojačane da bi se zaštitili osjetljivi podaci i obezbijedio bezbjedan rad digitalne infrastrukture. Za rješavanje potencijalnih prijetnji neophodni su protokoli za sajber bezbednost i obuka.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postoji potreba za jasnom politikom i regulatornim okvirom kako bi se podstakle inovacije i usvajanje Informacionih i komunikacionih tehnologija (IKT). Jasne smjernice i standardi za digitalne usluge, zajedno sa okruženjem pogodnim za javno-privatna partnerstva, značajni su za napredak kada je riječ o digitalizaciji i pametnom gradu. Na kraju, finansijska ograničenja i ograničenja ljudskih resursa predstavljaju značajne prepreke implementaciji projekata digitalnog i pametnog grada. Ograničeni budžeti i nedostatak dovoljnog broja kvalifikovanih IKT profesionalaca u upravi Glavnog grada otežavaju planiranje, implementaciju i održavanje ovih projekata.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Glavnom gradu Podgorici već se ostvaruje značajan napredak u digitalizaciji i usvajanju koncepta pametnog grada. Međutim, rješavanje identifikovanih nedostataka je ključno za potpuno ostvarenje vizije da Glavni grad postane digitalno napredan i održiv urbani centar. Unaprjeđenjem interoperabilnosti, jačanjem digitalnih kompetencija, jačanjem sajber bezbjednosti, obezbjeđivanjem adekvatne alokacije resursa i razvojem politika podrške, u Podgorici se može iskoristiti digitalizacija kako bi se pokrenuo održivi urbani razvoj i poboljšao kvalitet života njenih stanovnika.</w:t>
      </w:r>
    </w:p>
    <w:p w:rsidR="00E944C2" w:rsidRDefault="00E944C2" w:rsidP="00316155">
      <w:pPr>
        <w:pStyle w:val="Heading2"/>
        <w:jc w:val="both"/>
      </w:pPr>
    </w:p>
    <w:p w:rsidR="00E944C2" w:rsidRDefault="00F7666C" w:rsidP="00316155">
      <w:pPr>
        <w:pStyle w:val="Heading2"/>
        <w:jc w:val="both"/>
      </w:pPr>
      <w:bookmarkStart w:id="52" w:name="_Toc212039537"/>
      <w:r>
        <w:t>2.16. Infrastruktura za zaštitu i spašavanje</w:t>
      </w:r>
      <w:bookmarkEnd w:id="52"/>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zaštite i spašavanja Glavnog grada sprovodi sve mjere i radnje iz svoje nadležnosti sa lokacije na Starom aerodromu, gdje se i nalazi njeno sjedište. Ova činjenica dovodi u pitanje kvalitet i uspješnost sprovođenja ovih aktivnosti, jer je faktor vremena dolaska na mjesto intervencije jedan od ključnih parametara koji određuje pomenute kriterijume.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sama lokacija Službe zaštite je prilično nepovoljna jer se nalazi na obodu grada tako da je opseg njenog efikasnog i pravovremenog djelovanja mnogo manji u odnosu na realne potrebe i veličinu teritorije na kojoj Služba djeluje. Ovaj opseg se proteže na svega nekoliko gradskih naselja jer se „dobrim vremenom“ dolaska na mjesto intervencije, prema vatrogasnim standardima izvedenim iz uporednih praksi evropskih gradova, računa vrijeme od sedam minuta. Ovaj standard često nije moguće ostvariti ni u samim gradskim naseljima koja gravitiraju lokaciji Službe, zbog saobraćajnih čepova koji se stvaraju u ulici Josipa Broza tokom određenih vremenskih perioda.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Nadalje, vrijeme dolaska vatrogasaca sa početne lokacije na određeno mjesto intervencije u većini gradskih naselja, uslovljeno je najprije stepenom inteziteta saobraćaja u dva podvožnjaka (kod samog vatrogasnog doma i kod katoličke crkve). Kretanje vatrogasnog vozila će nakon prolaska jednog od podvožnjaka pa sve do odredišta zavisiti još i od niza drugih faktora od kojih treba najprije imati u vidu broj motornih vozila i gustinu saobraćaja u našem gradu, kao i stepen saobraćajne kulture pojedinih vozača.</w:t>
      </w:r>
    </w:p>
    <w:p w:rsidR="00E944C2" w:rsidRDefault="00F7666C" w:rsidP="00316155">
      <w:pPr>
        <w:pStyle w:val="Heading2"/>
        <w:jc w:val="both"/>
      </w:pPr>
      <w:bookmarkStart w:id="53" w:name="_Toc212039538"/>
      <w:r>
        <w:t>2.17. Socijalni aspekti</w:t>
      </w:r>
      <w:bookmarkEnd w:id="53"/>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Analiza trenutnog socijalnog stanja u Podgorici obuhvata više aspekata, uključujući zdravstvo, obrazovanje, i socijalnu zaštitu.</w:t>
      </w:r>
    </w:p>
    <w:p w:rsidR="00E944C2" w:rsidRDefault="00F7666C" w:rsidP="00316155">
      <w:pPr>
        <w:pStyle w:val="Heading3"/>
        <w:jc w:val="both"/>
      </w:pPr>
      <w:bookmarkStart w:id="54" w:name="_Toc212039539"/>
      <w:r>
        <w:t>2.17.1. Zdravstvo</w:t>
      </w:r>
      <w:bookmarkEnd w:id="54"/>
    </w:p>
    <w:p w:rsidR="00E944C2" w:rsidRDefault="00E944C2" w:rsidP="00316155">
      <w:pPr>
        <w:pStyle w:val="Normal1"/>
        <w:ind w:left="632"/>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Klinički centar Crne Gore: Ova institucija predstavlja glavni zdravstveni centar u Podgorici, pružajući sekundarne i tercijarne zdravstvene usluge. </w:t>
      </w:r>
      <w:r>
        <w:rPr>
          <w:rFonts w:ascii="Times New Roman" w:eastAsia="Times New Roman" w:hAnsi="Times New Roman" w:cs="Times New Roman"/>
          <w:sz w:val="24"/>
          <w:szCs w:val="24"/>
          <w:highlight w:val="white"/>
        </w:rPr>
        <w:t>Nema odvojenih servisa, što znači da služi kao visoko specijalizovana ustanova za gotovo sve medicinske discipline​​.</w:t>
      </w:r>
      <w:r>
        <w:rPr>
          <w:rFonts w:ascii="Times New Roman" w:eastAsia="Times New Roman" w:hAnsi="Times New Roman" w:cs="Times New Roman"/>
          <w:sz w:val="24"/>
          <w:szCs w:val="24"/>
        </w:rPr>
        <w:t xml:space="preserve"> Opterećenje je za građane Podgorice jer KCCG jeste ustanova tercijarnog nivoa zdravstvene usluge na nivou cijele države, tako da su identifikovane česte gužve i velike liste čekanja čime se umanjuje kvalitet zdravstvene usluge za stanovnike Podgorice.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Dom zdravlja Podgorica: Služi kao primarni zdravstveni centar sa timovima izabranih doktora i podrška za razne specijalizovane usluge uključujući mentalno zdravlje i fizikalnu terapiju. Postoji 15 punktova u gradskom i 10 u seoskim područjima​​.</w:t>
      </w:r>
    </w:p>
    <w:p w:rsidR="00E944C2" w:rsidRDefault="00F7666C" w:rsidP="00316155">
      <w:pPr>
        <w:pStyle w:val="Heading3"/>
        <w:jc w:val="both"/>
      </w:pPr>
      <w:bookmarkStart w:id="55" w:name="_Toc212039540"/>
      <w:r>
        <w:t>2.17.2. Obrazovni sistem</w:t>
      </w:r>
      <w:bookmarkEnd w:id="55"/>
    </w:p>
    <w:p w:rsidR="00E944C2" w:rsidRDefault="00E944C2" w:rsidP="00316155">
      <w:pPr>
        <w:pStyle w:val="Normal1"/>
        <w:ind w:left="632"/>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Predškolsko i osnovno obrazovanje: Podgorica ima razvijenu mrežu predškolskih institucija i osnovnih škola koje su dostupne u urbanim i ruralnim područjima. Konstantno širenje grada podrazumijeva i širenje obrazovnih usluga na područjima u kojima usluga nije na najvećem nivou.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Srednje i više obrazovanje: U gradu postoji nekoliko srednjih škola i fakulteta koji nude opšte i stručno obrazovanje, kao i obrazovanje za osobe sa posebnim potrebama​​.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56" w:name="_tm5fzsn21e6o" w:colFirst="0" w:colLast="0"/>
      <w:bookmarkStart w:id="57" w:name="_Toc212039541"/>
      <w:bookmarkEnd w:id="56"/>
      <w:r>
        <w:t>2.17.3. Socijalna i dječija zaštita</w:t>
      </w:r>
      <w:bookmarkEnd w:id="57"/>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Socijalna i dječija zaštita je djelatnost od javnog interesa “kojom se obezbjeđuju i ostvaruju mjere i programi namijenjeni pojedincu i porodici sa nepovoljnim ličnim ili porodičnim okolnostima, koji uključuju prevenciju, pomoć u zadovoljavanju osnovnih životnih potreba i podršku”. Ove mjere i programi najvećim dijelom obuhvataju obezbjeđivanje materijalnih davanja i usluga socijalne i dječije zaštite. Ostvarivanje javnog interesa u ovoj oblasti obezbjeđuju Crna Gora (država) i lokalna samouprava (opština), pod uslovima i na način propisan Zakonom o socijalnoj i dječjoj zaštiti.</w:t>
      </w:r>
      <w:r>
        <w:rPr>
          <w:rFonts w:ascii="Times New Roman" w:eastAsia="Times New Roman" w:hAnsi="Times New Roman" w:cs="Times New Roman"/>
          <w:sz w:val="24"/>
          <w:szCs w:val="24"/>
          <w:vertAlign w:val="superscript"/>
        </w:rPr>
        <w:footnoteReference w:id="5"/>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teritoriji Podgorice funkcionišu Javna ustanova Centar za socijalni rad za Podgorica, JU Zavod „Komanski most”, JU Centar za djecu i mlade „Ljubović”, JU Dom starih “Podgorica”, JU Resursni centar za djecu i mlade „Podgorica”, JU Resursni centar za djecu i osobe sa intelektualnim smetnjama i autizmom „1.jun”, kao i javne ustanove pod upravnim nadzorom Sekretarijata za socijalno staranje - JU Dnevni centar za djecu i omladinu sa smetnjama i teškoćama i razvoju - Podgorica, JU za smještaj, rehabilitaciju i resocijalizaciju korisnika psihoaktivnih supstanci Podgorica i JU za brigu o djeci “Dječiji savez”. </w:t>
      </w:r>
    </w:p>
    <w:p w:rsidR="00E944C2" w:rsidRDefault="00F7666C" w:rsidP="00E36C81">
      <w:pPr>
        <w:pStyle w:val="Normal1"/>
        <w:spacing w:after="120" w:line="360" w:lineRule="auto"/>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rPr>
        <w:t xml:space="preserve">Zakonom o socijalnoj i dječijoj zaštiti definisana su prava iz socijalne i dječije zaštite: osnovna materijalna davanja i usluge socijalne i dječje zaštite. Materijalna davanja iz socijalne zaštite su: materijalno obezbjeđenje, lična invalidnina, dodatak za njegu i pomoć, zdravstvena zaštita, troškovi sahrane, jednokratna novčana pomoć, naknada roditelju ili staratelju korisnika lične invalidnine. Materijalna davanja iz dječije zaštite su: naknada za novorođeno dijete, dodatak za djecu, troškovi ishrane u predškolskim ustanovama, pomoć za vaspitanje i obrazovanje djece i mladih sa posebnim obrazovnim potrebama, refundacija naknade zarade i naknada zarade za porodiljsko, odnosno roditeljsko odsustvo, naknada po osnovu rođenja djeteta i refundacija naknade zarade. </w:t>
      </w:r>
      <w:r>
        <w:rPr>
          <w:rFonts w:ascii="Times New Roman" w:eastAsia="Times New Roman" w:hAnsi="Times New Roman" w:cs="Times New Roman"/>
          <w:sz w:val="24"/>
          <w:szCs w:val="24"/>
          <w:highlight w:val="white"/>
        </w:rPr>
        <w:t>Usluge socijalne i dječje zaštite obuhvataju: podršku za život u zajednici,savjetodavno-terapijske i socijalno-edukativne usluge, smještaj, neodložne intervencije i druge usluge.</w:t>
      </w:r>
      <w:r>
        <w:rPr>
          <w:rFonts w:ascii="Times New Roman" w:eastAsia="Times New Roman" w:hAnsi="Times New Roman" w:cs="Times New Roman"/>
          <w:i/>
          <w:sz w:val="24"/>
          <w:szCs w:val="24"/>
          <w:highlight w:val="white"/>
          <w:vertAlign w:val="superscript"/>
        </w:rPr>
        <w:footnoteReference w:id="6"/>
      </w:r>
    </w:p>
    <w:p w:rsidR="00E944C2" w:rsidRDefault="00F7666C" w:rsidP="00E36C81">
      <w:pPr>
        <w:pStyle w:val="Normal1"/>
        <w:spacing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sljedećim tabelama dat je pregled davanja iz državnog budžeta koja se ostvaruju na teritoriji Podgorice preko Centra za socijalni rad:</w:t>
      </w:r>
    </w:p>
    <w:p w:rsidR="00E944C2" w:rsidRDefault="00E944C2" w:rsidP="00E36C81">
      <w:pPr>
        <w:pStyle w:val="Normal1"/>
        <w:spacing w:after="120" w:line="360" w:lineRule="auto"/>
        <w:jc w:val="both"/>
        <w:rPr>
          <w:rFonts w:ascii="Times New Roman" w:eastAsia="Times New Roman" w:hAnsi="Times New Roman" w:cs="Times New Roman"/>
          <w:sz w:val="24"/>
          <w:szCs w:val="24"/>
        </w:rPr>
      </w:pPr>
    </w:p>
    <w:p w:rsidR="00900D75" w:rsidRDefault="00900D75" w:rsidP="00E36C81">
      <w:pPr>
        <w:pStyle w:val="Normal1"/>
        <w:spacing w:after="120" w:line="360" w:lineRule="auto"/>
        <w:jc w:val="both"/>
        <w:rPr>
          <w:rFonts w:ascii="Times New Roman" w:eastAsia="Times New Roman" w:hAnsi="Times New Roman" w:cs="Times New Roman"/>
          <w:sz w:val="24"/>
          <w:szCs w:val="24"/>
        </w:rPr>
      </w:pPr>
    </w:p>
    <w:p w:rsidR="00900D75" w:rsidRDefault="00900D75" w:rsidP="00E36C81">
      <w:pPr>
        <w:pStyle w:val="Normal1"/>
        <w:spacing w:after="120" w:line="360" w:lineRule="auto"/>
        <w:jc w:val="both"/>
        <w:rPr>
          <w:rFonts w:ascii="Times New Roman" w:eastAsia="Times New Roman" w:hAnsi="Times New Roman" w:cs="Times New Roman"/>
          <w:sz w:val="24"/>
          <w:szCs w:val="24"/>
        </w:rPr>
      </w:pPr>
    </w:p>
    <w:p w:rsidR="00900D75" w:rsidRDefault="00900D75" w:rsidP="00316155">
      <w:pPr>
        <w:pStyle w:val="Normal1"/>
        <w:spacing w:after="0" w:line="360" w:lineRule="auto"/>
        <w:jc w:val="both"/>
        <w:rPr>
          <w:rFonts w:ascii="Times New Roman" w:eastAsia="Times New Roman" w:hAnsi="Times New Roman" w:cs="Times New Roman"/>
          <w:color w:val="000000"/>
        </w:rPr>
      </w:pPr>
    </w:p>
    <w:p w:rsidR="00E944C2" w:rsidRDefault="00F7666C" w:rsidP="00316155">
      <w:pPr>
        <w:pStyle w:val="Normal1"/>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Tabela b</w:t>
      </w:r>
      <w:r>
        <w:rPr>
          <w:rFonts w:ascii="Times New Roman" w:eastAsia="Times New Roman" w:hAnsi="Times New Roman" w:cs="Times New Roman"/>
        </w:rPr>
        <w:t>roj 19.</w:t>
      </w:r>
      <w:r>
        <w:rPr>
          <w:rFonts w:ascii="Times New Roman" w:eastAsia="Times New Roman" w:hAnsi="Times New Roman" w:cs="Times New Roman"/>
          <w:color w:val="000000"/>
        </w:rPr>
        <w:t xml:space="preserve">  Broj korisnika u Podgorici </w:t>
      </w:r>
    </w:p>
    <w:tbl>
      <w:tblPr>
        <w:tblStyle w:val="59"/>
        <w:tblW w:w="91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840"/>
        <w:gridCol w:w="1036"/>
        <w:gridCol w:w="1107"/>
        <w:gridCol w:w="1108"/>
        <w:gridCol w:w="1031"/>
        <w:gridCol w:w="953"/>
        <w:gridCol w:w="1031"/>
      </w:tblGrid>
      <w:tr w:rsidR="00E944C2">
        <w:trPr>
          <w:cantSplit/>
          <w:trHeight w:val="367"/>
          <w:tblHeader/>
        </w:trPr>
        <w:tc>
          <w:tcPr>
            <w:tcW w:w="2840"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Prava iz socijalne zaštite</w:t>
            </w:r>
          </w:p>
        </w:tc>
        <w:tc>
          <w:tcPr>
            <w:tcW w:w="1036"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2024</w:t>
            </w:r>
          </w:p>
        </w:tc>
        <w:tc>
          <w:tcPr>
            <w:tcW w:w="1107"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2023</w:t>
            </w:r>
          </w:p>
        </w:tc>
        <w:tc>
          <w:tcPr>
            <w:tcW w:w="1108"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2022</w:t>
            </w:r>
          </w:p>
        </w:tc>
        <w:tc>
          <w:tcPr>
            <w:tcW w:w="1031"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2021</w:t>
            </w:r>
          </w:p>
        </w:tc>
        <w:tc>
          <w:tcPr>
            <w:tcW w:w="953"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2020</w:t>
            </w:r>
          </w:p>
        </w:tc>
        <w:tc>
          <w:tcPr>
            <w:tcW w:w="1031" w:type="dxa"/>
            <w:shd w:val="clear" w:color="auto" w:fill="B4C6E7"/>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Dec. 2019</w:t>
            </w:r>
          </w:p>
        </w:tc>
      </w:tr>
      <w:tr w:rsidR="00E944C2">
        <w:trPr>
          <w:cantSplit/>
          <w:trHeight w:val="493"/>
          <w:tblHeader/>
        </w:trPr>
        <w:tc>
          <w:tcPr>
            <w:tcW w:w="2840"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Broj korisnika</w:t>
            </w:r>
          </w:p>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materijalnog obezbjeđenja</w:t>
            </w:r>
          </w:p>
        </w:tc>
        <w:tc>
          <w:tcPr>
            <w:tcW w:w="1036"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1.090</w:t>
            </w:r>
          </w:p>
        </w:tc>
        <w:tc>
          <w:tcPr>
            <w:tcW w:w="1107"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1.190</w:t>
            </w:r>
          </w:p>
        </w:tc>
        <w:tc>
          <w:tcPr>
            <w:tcW w:w="1108"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1.266</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1.503</w:t>
            </w:r>
          </w:p>
        </w:tc>
        <w:tc>
          <w:tcPr>
            <w:tcW w:w="953"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1.566</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1.542</w:t>
            </w:r>
          </w:p>
        </w:tc>
      </w:tr>
      <w:tr w:rsidR="00E944C2">
        <w:trPr>
          <w:cantSplit/>
          <w:trHeight w:val="571"/>
          <w:tblHeader/>
        </w:trPr>
        <w:tc>
          <w:tcPr>
            <w:tcW w:w="2840"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Broj članova porodice materijalnog obezbjeđenja</w:t>
            </w:r>
          </w:p>
        </w:tc>
        <w:tc>
          <w:tcPr>
            <w:tcW w:w="1036"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3.912</w:t>
            </w:r>
          </w:p>
        </w:tc>
        <w:tc>
          <w:tcPr>
            <w:tcW w:w="1107"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4.298</w:t>
            </w:r>
          </w:p>
        </w:tc>
        <w:tc>
          <w:tcPr>
            <w:tcW w:w="1108"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4.522</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5.243</w:t>
            </w:r>
          </w:p>
        </w:tc>
        <w:tc>
          <w:tcPr>
            <w:tcW w:w="953"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5.374</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5.253</w:t>
            </w:r>
          </w:p>
        </w:tc>
      </w:tr>
      <w:tr w:rsidR="00E944C2">
        <w:trPr>
          <w:cantSplit/>
          <w:trHeight w:val="367"/>
          <w:tblHeader/>
        </w:trPr>
        <w:tc>
          <w:tcPr>
            <w:tcW w:w="2840"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Broj korisnika lične invalidnine</w:t>
            </w:r>
          </w:p>
        </w:tc>
        <w:tc>
          <w:tcPr>
            <w:tcW w:w="1036"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1.251</w:t>
            </w:r>
          </w:p>
        </w:tc>
        <w:tc>
          <w:tcPr>
            <w:tcW w:w="1107"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1.043</w:t>
            </w:r>
          </w:p>
        </w:tc>
        <w:tc>
          <w:tcPr>
            <w:tcW w:w="1108"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866</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776</w:t>
            </w:r>
          </w:p>
        </w:tc>
        <w:tc>
          <w:tcPr>
            <w:tcW w:w="953"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685</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634</w:t>
            </w:r>
          </w:p>
        </w:tc>
      </w:tr>
      <w:tr w:rsidR="00E944C2">
        <w:trPr>
          <w:cantSplit/>
          <w:trHeight w:val="367"/>
          <w:tblHeader/>
        </w:trPr>
        <w:tc>
          <w:tcPr>
            <w:tcW w:w="2840"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Broj korisnika dodatka za njegu i pomoć</w:t>
            </w:r>
          </w:p>
        </w:tc>
        <w:tc>
          <w:tcPr>
            <w:tcW w:w="1036"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7.130</w:t>
            </w:r>
          </w:p>
        </w:tc>
        <w:tc>
          <w:tcPr>
            <w:tcW w:w="1107"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5.926</w:t>
            </w:r>
          </w:p>
        </w:tc>
        <w:tc>
          <w:tcPr>
            <w:tcW w:w="1108"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4.672</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4.208</w:t>
            </w:r>
          </w:p>
        </w:tc>
        <w:tc>
          <w:tcPr>
            <w:tcW w:w="953"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4.232</w:t>
            </w:r>
          </w:p>
        </w:tc>
        <w:tc>
          <w:tcPr>
            <w:tcW w:w="1031" w:type="dxa"/>
          </w:tcPr>
          <w:p w:rsidR="00E944C2" w:rsidRDefault="00F7666C" w:rsidP="00316155">
            <w:pPr>
              <w:pStyle w:val="Normal1"/>
              <w:jc w:val="both"/>
              <w:rPr>
                <w:rFonts w:ascii="Times New Roman" w:eastAsia="Times New Roman" w:hAnsi="Times New Roman" w:cs="Times New Roman"/>
              </w:rPr>
            </w:pPr>
            <w:r>
              <w:rPr>
                <w:rFonts w:ascii="Times New Roman" w:eastAsia="Times New Roman" w:hAnsi="Times New Roman" w:cs="Times New Roman"/>
              </w:rPr>
              <w:t>4.177</w:t>
            </w:r>
          </w:p>
        </w:tc>
      </w:tr>
    </w:tbl>
    <w:p w:rsidR="00E944C2" w:rsidRDefault="00F7666C" w:rsidP="00E36C81">
      <w:pPr>
        <w:pStyle w:val="Normal1"/>
        <w:spacing w:after="0" w:line="360" w:lineRule="auto"/>
        <w:jc w:val="both"/>
        <w:rPr>
          <w:rFonts w:ascii="Times New Roman" w:eastAsia="Times New Roman" w:hAnsi="Times New Roman" w:cs="Times New Roman"/>
          <w:i/>
          <w:color w:val="000000"/>
          <w:sz w:val="24"/>
        </w:rPr>
      </w:pPr>
      <w:r>
        <w:rPr>
          <w:rFonts w:ascii="Times New Roman" w:eastAsia="Times New Roman" w:hAnsi="Times New Roman" w:cs="Times New Roman"/>
          <w:i/>
          <w:color w:val="000000"/>
          <w:sz w:val="24"/>
        </w:rPr>
        <w:t>Izvor: Interna baza</w:t>
      </w:r>
    </w:p>
    <w:p w:rsidR="00E944C2" w:rsidRDefault="00E944C2" w:rsidP="00E36C81">
      <w:pPr>
        <w:pStyle w:val="Normal1"/>
        <w:spacing w:after="0" w:line="360" w:lineRule="auto"/>
        <w:jc w:val="both"/>
        <w:rPr>
          <w:rFonts w:ascii="Times New Roman" w:eastAsia="Times New Roman" w:hAnsi="Times New Roman" w:cs="Times New Roman"/>
          <w:color w:val="000000"/>
        </w:rPr>
      </w:pPr>
    </w:p>
    <w:p w:rsidR="00E944C2" w:rsidRDefault="00E944C2" w:rsidP="00E36C81">
      <w:pPr>
        <w:pStyle w:val="Normal1"/>
        <w:spacing w:after="0" w:line="360" w:lineRule="auto"/>
        <w:jc w:val="both"/>
        <w:rPr>
          <w:rFonts w:ascii="Times New Roman" w:eastAsia="Times New Roman" w:hAnsi="Times New Roman" w:cs="Times New Roman"/>
          <w:color w:val="000000"/>
        </w:rPr>
      </w:pPr>
    </w:p>
    <w:p w:rsidR="00E944C2" w:rsidRDefault="00F7666C" w:rsidP="00316155">
      <w:pPr>
        <w:pStyle w:val="Normal1"/>
        <w:spacing w:after="0" w:line="360" w:lineRule="auto"/>
        <w:jc w:val="both"/>
        <w:rPr>
          <w:rFonts w:ascii="Times New Roman" w:eastAsia="Times New Roman" w:hAnsi="Times New Roman" w:cs="Times New Roman"/>
        </w:rPr>
      </w:pPr>
      <w:r>
        <w:rPr>
          <w:rFonts w:ascii="Times New Roman" w:eastAsia="Times New Roman" w:hAnsi="Times New Roman" w:cs="Times New Roman"/>
        </w:rPr>
        <w:t>Tabela broj 20.  Broj korisnika u javnim ustanovama (broj korisnika iz Podgorice vs. ukupan broj)</w:t>
      </w:r>
    </w:p>
    <w:tbl>
      <w:tblPr>
        <w:tblStyle w:val="58"/>
        <w:tblW w:w="907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011"/>
        <w:gridCol w:w="3091"/>
        <w:gridCol w:w="2970"/>
      </w:tblGrid>
      <w:tr w:rsidR="00E944C2">
        <w:trPr>
          <w:cantSplit/>
          <w:trHeight w:val="332"/>
          <w:tblHeader/>
        </w:trPr>
        <w:tc>
          <w:tcPr>
            <w:tcW w:w="3011"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Naziv ustanove</w:t>
            </w:r>
          </w:p>
        </w:tc>
        <w:tc>
          <w:tcPr>
            <w:tcW w:w="3091"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Dec. 2023</w:t>
            </w:r>
          </w:p>
        </w:tc>
        <w:tc>
          <w:tcPr>
            <w:tcW w:w="2970"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Dec. 2022</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Dom starih “Grabovac”</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27 (160)  17%</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34 (179)  19%</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Dom starih “Bijelo Polje”</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16 (117) 13.7%</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23 (138)  16.7%</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Dom starih “Pljevlja”</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 (46) 2.2%</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 (48)   2%</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Dom starih “Podgorica”</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43 (74) 58%</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Zavod “Komanski most”</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32 (115) 27.8%</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33 (119) 27.7%</w:t>
            </w:r>
          </w:p>
        </w:tc>
      </w:tr>
      <w:tr w:rsidR="00E944C2">
        <w:trPr>
          <w:cantSplit/>
          <w:trHeight w:val="332"/>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Centar “Ljubović”</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11 (18) 61%</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7  (16) 43.8%</w:t>
            </w:r>
          </w:p>
        </w:tc>
      </w:tr>
      <w:tr w:rsidR="00E944C2">
        <w:trPr>
          <w:cantSplit/>
          <w:trHeight w:val="348"/>
          <w:tblHeader/>
        </w:trPr>
        <w:tc>
          <w:tcPr>
            <w:tcW w:w="301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Dječiji dom “Mladost”</w:t>
            </w:r>
          </w:p>
        </w:tc>
        <w:tc>
          <w:tcPr>
            <w:tcW w:w="309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14 (72) 19.5%</w:t>
            </w:r>
          </w:p>
        </w:tc>
        <w:tc>
          <w:tcPr>
            <w:tcW w:w="2970"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24 (80)  30%</w:t>
            </w:r>
          </w:p>
        </w:tc>
      </w:tr>
    </w:tbl>
    <w:p w:rsidR="00E944C2" w:rsidRDefault="00F7666C" w:rsidP="00E36C81">
      <w:pPr>
        <w:pStyle w:val="Normal1"/>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Interna baza</w:t>
      </w:r>
    </w:p>
    <w:p w:rsidR="00E944C2" w:rsidRDefault="00E944C2" w:rsidP="00E36C81">
      <w:pPr>
        <w:pStyle w:val="Normal1"/>
        <w:spacing w:after="0" w:line="360" w:lineRule="auto"/>
        <w:jc w:val="both"/>
        <w:rPr>
          <w:rFonts w:ascii="Times New Roman" w:eastAsia="Times New Roman" w:hAnsi="Times New Roman" w:cs="Times New Roman"/>
          <w:i/>
          <w:sz w:val="24"/>
          <w:szCs w:val="24"/>
        </w:rPr>
      </w:pPr>
    </w:p>
    <w:p w:rsidR="00E944C2" w:rsidRDefault="00F7666C" w:rsidP="00E36C81">
      <w:pPr>
        <w:pStyle w:val="Normal1"/>
        <w:spacing w:after="12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Zakonom o lokalnoj samoupravi je propisano da jedinica lokalne samouprave, odnosno njena skupština, „donosi planove i programe razvoja za pojedine oblasti” (član 38, stav 4). Dalje definiše da opština shodno mogućnostima, “učestvuje u obezbjeđivanju uslova i unapređenju djelatnosti: zdravstvene zaštite, obrazovanja, socijalne i dječje zaštite, zapošljavanja i drugih oblasti od interesa za lokalno stanovništvo i vrši prava i dužnosti osnivača ustanova koje osniva u ovim djelatnostima, u skladu sa zakonom” a takođe i „u skladu sa mogućnostima, uređuje i obezbjeđuje rješavanje stambenih potreba lica u stanju socijalne potrebe i lica sa invaliditetom i pomaže rad humanitarnih organizacija i nevladinih organizacija iz ovih oblasti“ (član 27, stav 15 i 16).</w:t>
      </w:r>
    </w:p>
    <w:p w:rsidR="00E944C2" w:rsidRDefault="00F7666C" w:rsidP="00E36C81">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Članom 154 st. 4 i 5 Zakona o socijalnoj i dječjoj zaštiti propisano je da se u budžetu opštine mogu obezbijediti sredstva za materijalna davanja u socijalnoj i dječjoj zaštiti propisana ovim zakonom i za usluge socijalne i dječje zaštite, kao što su: pomoć u kući, dnevni boravak, usluge narodne kuhinje, odmor i rekreaciju djece, stanovanje uz podršku, smještaj u prihvatilište - sklonište, stanovanje za socijalno ugrožena lica, u skladu sa zakonom i druge usluge u skladu sa svojim materijalnim mogućnostima. Ukoliko opštine nijesu u mogućnosti da obezbijede sredstva za usluge iz stava 4 ovog člana u njihovom finansiranju učestvovaće država, u skladu sa članom 156 ovog zakona osim za troškove funkcionisanja dnevnih boravaka za djecu i mlade sa smetnjama i teškoćama u razvoju, čije će troškove usluga država sufinansirati u svakoj opštini.</w:t>
      </w:r>
      <w:r>
        <w:rPr>
          <w:rFonts w:ascii="Times New Roman" w:eastAsia="Times New Roman" w:hAnsi="Times New Roman" w:cs="Times New Roman"/>
          <w:sz w:val="24"/>
          <w:szCs w:val="24"/>
          <w:vertAlign w:val="superscript"/>
        </w:rPr>
        <w:footnoteReference w:id="7"/>
      </w:r>
    </w:p>
    <w:p w:rsidR="00E944C2" w:rsidRDefault="00E944C2" w:rsidP="00E36C81">
      <w:pPr>
        <w:pStyle w:val="Normal1"/>
        <w:spacing w:after="0" w:line="360" w:lineRule="auto"/>
        <w:jc w:val="both"/>
        <w:rPr>
          <w:rFonts w:ascii="Times New Roman" w:eastAsia="Times New Roman" w:hAnsi="Times New Roman" w:cs="Times New Roman"/>
          <w:sz w:val="24"/>
          <w:szCs w:val="24"/>
        </w:rPr>
      </w:pPr>
    </w:p>
    <w:p w:rsidR="00E944C2" w:rsidRDefault="00F7666C" w:rsidP="00E36C81">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 Glavnog grada, u cilju obezbjeđenja što kvalitetnije zaštite građana i građanki Podgorice koji/e se nalaze u stanju socijalne potrebe i ranjivih grupa stanovništva, sprovodi različite aktivnosti. Odlukom o pravima iz socijalne i dječje zaštite  propisana  su sljedeća prava: jednokratna pomoć, vanredna pomoć, naknada za novorođeno dijete, naknada za novorođeno dijete roditelja sa invaliditetom, naknada za kupovinu školskog pribora, novčana pomoć za kupovinu školskog pribora, pomoć  u kući za starija lica, besplatni obrok u narodnoj kuhinji, besplatni odmor i rekreacija, stanovanje uz podršku, pravo na naknadu dijela troškova zakupnine (podrška podstanarima).</w:t>
      </w:r>
      <w:r>
        <w:rPr>
          <w:rFonts w:ascii="Times New Roman" w:eastAsia="Times New Roman" w:hAnsi="Times New Roman" w:cs="Times New Roman"/>
          <w:sz w:val="24"/>
          <w:szCs w:val="24"/>
          <w:vertAlign w:val="superscript"/>
        </w:rPr>
        <w:footnoteReference w:id="8"/>
      </w:r>
      <w:r>
        <w:rPr>
          <w:rFonts w:ascii="Times New Roman" w:eastAsia="Times New Roman" w:hAnsi="Times New Roman" w:cs="Times New Roman"/>
          <w:sz w:val="24"/>
          <w:szCs w:val="24"/>
        </w:rPr>
        <w:t xml:space="preserve"> Sekretarijat takođe obezbjeđuje i podršku za beskućnike, na osnovu nalaza i mišljenja centra za socijani rad.</w:t>
      </w:r>
    </w:p>
    <w:p w:rsidR="00E944C2" w:rsidRDefault="00E944C2"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900D75" w:rsidRDefault="00900D75" w:rsidP="00E36C81">
      <w:pPr>
        <w:pStyle w:val="Normal1"/>
        <w:spacing w:after="0" w:line="360" w:lineRule="auto"/>
        <w:jc w:val="both"/>
        <w:rPr>
          <w:rFonts w:ascii="Times New Roman" w:eastAsia="Times New Roman" w:hAnsi="Times New Roman" w:cs="Times New Roman"/>
          <w:sz w:val="24"/>
          <w:szCs w:val="24"/>
        </w:rPr>
      </w:pPr>
    </w:p>
    <w:p w:rsidR="00E944C2" w:rsidRDefault="00F7666C" w:rsidP="00316155">
      <w:pPr>
        <w:pStyle w:val="Normal1"/>
        <w:spacing w:after="120" w:line="360" w:lineRule="auto"/>
        <w:jc w:val="both"/>
        <w:rPr>
          <w:rFonts w:ascii="Times New Roman" w:eastAsia="Times New Roman" w:hAnsi="Times New Roman" w:cs="Times New Roman"/>
          <w:color w:val="000000"/>
        </w:rPr>
      </w:pPr>
      <w:r>
        <w:rPr>
          <w:rFonts w:ascii="Times New Roman" w:eastAsia="Times New Roman" w:hAnsi="Times New Roman" w:cs="Times New Roman"/>
          <w:color w:val="000000"/>
        </w:rPr>
        <w:t>Tabela broj 21. Broj korisnika/ca po godinama – određena prava</w:t>
      </w:r>
    </w:p>
    <w:tbl>
      <w:tblPr>
        <w:tblStyle w:val="57"/>
        <w:tblW w:w="8958"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467"/>
        <w:gridCol w:w="1851"/>
        <w:gridCol w:w="1586"/>
        <w:gridCol w:w="2207"/>
        <w:gridCol w:w="1847"/>
      </w:tblGrid>
      <w:tr w:rsidR="00E944C2">
        <w:trPr>
          <w:cantSplit/>
          <w:trHeight w:val="627"/>
          <w:tblHeader/>
        </w:trPr>
        <w:tc>
          <w:tcPr>
            <w:tcW w:w="1467"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Godina</w:t>
            </w:r>
          </w:p>
        </w:tc>
        <w:tc>
          <w:tcPr>
            <w:tcW w:w="1851"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Pomoć u kući</w:t>
            </w:r>
          </w:p>
        </w:tc>
        <w:tc>
          <w:tcPr>
            <w:tcW w:w="1586"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Jednokratna novčana pomoć</w:t>
            </w:r>
          </w:p>
        </w:tc>
        <w:tc>
          <w:tcPr>
            <w:tcW w:w="2207"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Besplatni dnevni obrok</w:t>
            </w:r>
          </w:p>
        </w:tc>
        <w:tc>
          <w:tcPr>
            <w:tcW w:w="1847" w:type="dxa"/>
            <w:shd w:val="clear" w:color="auto" w:fill="BDD7EE"/>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Poklon paket za novorođeno dijete</w:t>
            </w:r>
          </w:p>
        </w:tc>
      </w:tr>
      <w:tr w:rsidR="00E944C2">
        <w:trPr>
          <w:cantSplit/>
          <w:trHeight w:val="455"/>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2024</w:t>
            </w:r>
          </w:p>
        </w:tc>
        <w:tc>
          <w:tcPr>
            <w:tcW w:w="1851"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140</w:t>
            </w:r>
          </w:p>
        </w:tc>
        <w:tc>
          <w:tcPr>
            <w:tcW w:w="1586"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1.540</w:t>
            </w:r>
          </w:p>
        </w:tc>
        <w:tc>
          <w:tcPr>
            <w:tcW w:w="220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700 (495+205)</w:t>
            </w:r>
          </w:p>
        </w:tc>
        <w:tc>
          <w:tcPr>
            <w:tcW w:w="184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2.431</w:t>
            </w:r>
          </w:p>
        </w:tc>
      </w:tr>
      <w:tr w:rsidR="00E944C2">
        <w:trPr>
          <w:cantSplit/>
          <w:trHeight w:val="344"/>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2023</w:t>
            </w:r>
          </w:p>
        </w:tc>
        <w:tc>
          <w:tcPr>
            <w:tcW w:w="185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140</w:t>
            </w:r>
          </w:p>
        </w:tc>
        <w:tc>
          <w:tcPr>
            <w:tcW w:w="1586"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1.320</w:t>
            </w:r>
          </w:p>
        </w:tc>
        <w:tc>
          <w:tcPr>
            <w:tcW w:w="220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700 (500+200)</w:t>
            </w:r>
          </w:p>
        </w:tc>
        <w:tc>
          <w:tcPr>
            <w:tcW w:w="184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2.515</w:t>
            </w:r>
          </w:p>
        </w:tc>
      </w:tr>
      <w:tr w:rsidR="00E944C2">
        <w:trPr>
          <w:cantSplit/>
          <w:trHeight w:val="344"/>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2022</w:t>
            </w:r>
          </w:p>
        </w:tc>
        <w:tc>
          <w:tcPr>
            <w:tcW w:w="185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143</w:t>
            </w:r>
          </w:p>
        </w:tc>
        <w:tc>
          <w:tcPr>
            <w:tcW w:w="1586"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851</w:t>
            </w:r>
          </w:p>
        </w:tc>
        <w:tc>
          <w:tcPr>
            <w:tcW w:w="220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700 (494+206)</w:t>
            </w:r>
          </w:p>
        </w:tc>
        <w:tc>
          <w:tcPr>
            <w:tcW w:w="184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2.353</w:t>
            </w:r>
          </w:p>
        </w:tc>
      </w:tr>
      <w:tr w:rsidR="00E944C2">
        <w:trPr>
          <w:cantSplit/>
          <w:trHeight w:val="344"/>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2021</w:t>
            </w:r>
          </w:p>
        </w:tc>
        <w:tc>
          <w:tcPr>
            <w:tcW w:w="185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145</w:t>
            </w:r>
          </w:p>
        </w:tc>
        <w:tc>
          <w:tcPr>
            <w:tcW w:w="1586"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2.724</w:t>
            </w:r>
          </w:p>
        </w:tc>
        <w:tc>
          <w:tcPr>
            <w:tcW w:w="220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700 (500+200)</w:t>
            </w:r>
          </w:p>
        </w:tc>
        <w:tc>
          <w:tcPr>
            <w:tcW w:w="184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2.503</w:t>
            </w:r>
          </w:p>
        </w:tc>
      </w:tr>
      <w:tr w:rsidR="00E944C2">
        <w:trPr>
          <w:cantSplit/>
          <w:trHeight w:val="344"/>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2020</w:t>
            </w:r>
          </w:p>
        </w:tc>
        <w:tc>
          <w:tcPr>
            <w:tcW w:w="185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123</w:t>
            </w:r>
          </w:p>
        </w:tc>
        <w:tc>
          <w:tcPr>
            <w:tcW w:w="1586"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2.494</w:t>
            </w:r>
          </w:p>
        </w:tc>
        <w:tc>
          <w:tcPr>
            <w:tcW w:w="220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600 (420+180)</w:t>
            </w:r>
          </w:p>
        </w:tc>
        <w:tc>
          <w:tcPr>
            <w:tcW w:w="184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2.350</w:t>
            </w:r>
          </w:p>
        </w:tc>
      </w:tr>
      <w:tr w:rsidR="00E944C2">
        <w:trPr>
          <w:cantSplit/>
          <w:trHeight w:val="79"/>
          <w:tblHeader/>
        </w:trPr>
        <w:tc>
          <w:tcPr>
            <w:tcW w:w="1467" w:type="dxa"/>
            <w:shd w:val="clear" w:color="auto" w:fill="FFFFFF"/>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2019</w:t>
            </w:r>
          </w:p>
        </w:tc>
        <w:tc>
          <w:tcPr>
            <w:tcW w:w="1851"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123</w:t>
            </w:r>
          </w:p>
        </w:tc>
        <w:tc>
          <w:tcPr>
            <w:tcW w:w="1586"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2.722</w:t>
            </w:r>
          </w:p>
        </w:tc>
        <w:tc>
          <w:tcPr>
            <w:tcW w:w="220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600 (420+180)</w:t>
            </w:r>
          </w:p>
        </w:tc>
        <w:tc>
          <w:tcPr>
            <w:tcW w:w="1847" w:type="dxa"/>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2.413</w:t>
            </w:r>
          </w:p>
        </w:tc>
      </w:tr>
    </w:tbl>
    <w:p w:rsidR="00E944C2" w:rsidRDefault="00F7666C" w:rsidP="00E36C81">
      <w:pPr>
        <w:pStyle w:val="Normal1"/>
        <w:spacing w:after="0" w:line="36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Izvor: Sekretarijat za socijalno staranje Glavnog grada</w:t>
      </w:r>
    </w:p>
    <w:p w:rsidR="00E944C2" w:rsidRDefault="00E944C2" w:rsidP="00E36C81">
      <w:pPr>
        <w:pStyle w:val="Normal1"/>
        <w:spacing w:after="0"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Odlukom o davanju stanova u zakup licima u stanju socijalne potrebe</w:t>
      </w:r>
      <w:r>
        <w:rPr>
          <w:rFonts w:ascii="Times New Roman" w:eastAsia="Times New Roman" w:hAnsi="Times New Roman" w:cs="Times New Roman"/>
          <w:sz w:val="24"/>
          <w:szCs w:val="24"/>
          <w:vertAlign w:val="superscript"/>
        </w:rPr>
        <w:footnoteReference w:id="9"/>
      </w:r>
      <w:r>
        <w:rPr>
          <w:rFonts w:ascii="Times New Roman" w:eastAsia="Times New Roman" w:hAnsi="Times New Roman" w:cs="Times New Roman"/>
          <w:sz w:val="24"/>
          <w:szCs w:val="24"/>
        </w:rPr>
        <w:t xml:space="preserve"> propisani su kriterijumi, postupak i druga pitanja od značaja za davanje stanova u zakup licima u stanju socijalne potrebe. Pravo na rješavanje stambenih potreba davanjem stanova u zakup, prioritetno imaju lica koja u smislu Zakona o socijalnoj i dječjoj zaštiti ostvaruju pravo na materijalno obezbjeđenje porodice, pravo na ličnu invalidninu i pravo na naknadu roditelju ili staratelju korisnika prava na ličnu invalidninu, koji imaju prebivalište na teritoriji Glavnog grada. Odlukom o načinu korišćenja i cijeni zakupa stanova dodijeljenih licima u stanju socijalne potrebe (“Službeni list Crne Gore - opštinski propisi”, br. 47/21, 05/22) omogućeno je da pravo na zakup stanova koji su u vlasništvu Glavnog grada imaju svi dosadašnji i budući zakupci stanova, pod uslovima i na način propisan ovom odlukom. Navedenom Odlukom omogućeno je korisnicima socijalnih stanova obnavljanje ugovora o zakupu na određeno vrijeme.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Sekretarijat je takođe nadležan za izdavanje radnih knjižica, poslove iz oblasti boračko-invaidske zaštite, kao i izdavanje senior kartica za starije građane/ke. U okviru Sekretarijata djeluju četiri Kancelarije: Kancelarija za prevenciju bolesti zavisnosti, Kancelarija za rodnu ravnopravnost, Kancelarija za Rome i Egipćane i Kancelarija LBGTIQ lica, koje se bave unapređenjem ljudskih prava marginalizovanih grupa stanovništva. </w:t>
      </w:r>
    </w:p>
    <w:p w:rsidR="00E944C2" w:rsidRDefault="00F7666C" w:rsidP="00E36C81">
      <w:pPr>
        <w:pStyle w:val="Normal1"/>
        <w:shd w:val="clear" w:color="auto" w:fill="FFFFFF"/>
        <w:spacing w:line="360" w:lineRule="auto"/>
        <w:jc w:val="both"/>
        <w:rPr>
          <w:rFonts w:ascii="Times New Roman" w:eastAsia="Times New Roman" w:hAnsi="Times New Roman" w:cs="Times New Roman"/>
          <w:sz w:val="24"/>
          <w:szCs w:val="24"/>
        </w:rPr>
      </w:pPr>
      <w:bookmarkStart w:id="58" w:name="_oo8f3kr5if1y" w:colFirst="0" w:colLast="0"/>
      <w:bookmarkEnd w:id="58"/>
      <w:r>
        <w:rPr>
          <w:rFonts w:ascii="Times New Roman" w:eastAsia="Times New Roman" w:hAnsi="Times New Roman" w:cs="Times New Roman"/>
          <w:sz w:val="24"/>
          <w:szCs w:val="24"/>
        </w:rPr>
        <w:t xml:space="preserve">Sekretarijat za socijalno staranje sprovodi postavljanje taktilnih staza u Glavnom gradu, a u planu je i nabavka stambenih kontejnera za pomoć porodicama u kriznim situacijama.  </w:t>
      </w:r>
    </w:p>
    <w:p w:rsidR="00E944C2" w:rsidRDefault="00F7666C" w:rsidP="00E36C81">
      <w:pPr>
        <w:pStyle w:val="Normal1"/>
        <w:shd w:val="clear" w:color="auto" w:fill="FFFFFF"/>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sistema socijalne i dječje zaštite u Glavnom gradu planirano je i kroz uspostavljanje javnih ustanova: JU Centar za razvoj i pružanje usluga iz oblasti socijalne i dječje zaštite - Glavni grad, JU Dnevni centar za djecu i omladinu sa smetnjama i teškoćama u razvoju -  Podgorica i JU Gerontološki centar - Glavni grad.</w:t>
      </w:r>
    </w:p>
    <w:p w:rsidR="00E944C2" w:rsidRDefault="00E944C2" w:rsidP="00316155">
      <w:pPr>
        <w:pStyle w:val="Heading3"/>
        <w:ind w:left="0" w:firstLine="0"/>
        <w:jc w:val="both"/>
        <w:rPr>
          <w:b w:val="0"/>
          <w:i w:val="0"/>
          <w:color w:val="auto"/>
        </w:rPr>
      </w:pPr>
    </w:p>
    <w:p w:rsidR="00E944C2" w:rsidRDefault="00F7666C" w:rsidP="00316155">
      <w:pPr>
        <w:pStyle w:val="Heading3"/>
        <w:ind w:left="0" w:firstLine="0"/>
        <w:jc w:val="both"/>
      </w:pPr>
      <w:bookmarkStart w:id="59" w:name="_Toc212039542"/>
      <w:r>
        <w:t>2.17.3.1. Uslovi i kapaciteti za pružanje dnevnih usluga osobama sa invaliditetom</w:t>
      </w:r>
      <w:bookmarkEnd w:id="59"/>
    </w:p>
    <w:p w:rsidR="00E944C2" w:rsidRDefault="00E944C2" w:rsidP="00316155">
      <w:pPr>
        <w:pStyle w:val="Normal1"/>
        <w:ind w:left="-88"/>
        <w:jc w:val="both"/>
      </w:pPr>
    </w:p>
    <w:p w:rsidR="00E944C2" w:rsidRDefault="00F7666C" w:rsidP="00E36C81">
      <w:pPr>
        <w:pStyle w:val="Normal1"/>
        <w:spacing w:line="360" w:lineRule="auto"/>
        <w:ind w:left="-88"/>
        <w:jc w:val="both"/>
        <w:rPr>
          <w:rFonts w:ascii="Times New Roman" w:eastAsia="Times New Roman" w:hAnsi="Times New Roman" w:cs="Times New Roman"/>
          <w:sz w:val="24"/>
          <w:szCs w:val="24"/>
        </w:rPr>
      </w:pPr>
      <w:bookmarkStart w:id="60" w:name="_x5fnm9smc1of" w:colFirst="0" w:colLast="0"/>
      <w:bookmarkEnd w:id="60"/>
      <w:r>
        <w:rPr>
          <w:rFonts w:ascii="Times New Roman" w:eastAsia="Times New Roman" w:hAnsi="Times New Roman" w:cs="Times New Roman"/>
          <w:sz w:val="24"/>
          <w:szCs w:val="24"/>
        </w:rPr>
        <w:t xml:space="preserve">JU Dnevni centar se prostire na 350 m², međutim objekat nije namjenski rađen za svrhu usluge koja se u njemu pruža, već je renovirana i adaptirana kuća na 2 sprata koja ima mnogo manje korisnog prostora za boravak korisnika i sprovođenje svakodnevnih aktivnosti. S obzirom na to da spratnost objekta podrazumijeva obavezu lifta što dodatno smanjuje korisnu površinu za korisnike u objektu. Dvorište oko objekta je prilagođeno za potrebe osoba sa invaliditetom, ali nedostatak površine onemogućava sprovođenje slobodnih odnosno sportsko rekreativnih aktivnosti na otvorenom.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Zbog strukture korisnika koja varira počev od uzrasta pa preko interesovanja, potencijala i zdravstvenih potreba, sve do tipa razvojne smetnje, dodatni  izazov je raspored i formiranje grupa korisnika u korisnom prostoru koji je sam po sebi dosta ograničen. Treba uzeti u obzir da gore navedena  kvadratura obuhvata: kancelarije, hodnike, toalete (kojih je 5) i dvije kuhinje, a pritom hodnici i toaleti moraju zadovoljavati standarde predviđene za osobe sa invaliditetom.</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Objekat se nalazi u gusto naseljenom dijelu grada u uskoj ulici bez parking mjesta, sa često otežanim prilazom kako kombi vozilo ustanove kojim se svakodnevno vrši prevoz korisnika, tako i za roditelje koji samostalno dovoze djecu.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Maksimalan broj korisnka koji može da boravi u JU Dnevnom centru je 20. U Crnoj Gori nema registra osoba sa invaliditetom, ali na osnovu zvanične statistike Svjetske zdravstvene organizacije (eng. </w:t>
      </w:r>
      <w:r>
        <w:rPr>
          <w:rFonts w:ascii="Times New Roman" w:eastAsia="Times New Roman" w:hAnsi="Times New Roman" w:cs="Times New Roman"/>
          <w:i/>
          <w:sz w:val="24"/>
          <w:szCs w:val="24"/>
        </w:rPr>
        <w:t>World Health Organization</w:t>
      </w:r>
      <w:r>
        <w:rPr>
          <w:rFonts w:ascii="Times New Roman" w:eastAsia="Times New Roman" w:hAnsi="Times New Roman" w:cs="Times New Roman"/>
          <w:sz w:val="24"/>
          <w:szCs w:val="24"/>
        </w:rPr>
        <w:t xml:space="preserve"> WHO), u opštoj populaciji je zastupljeno oko 15% osoba sa invaliditetom. Ako uzmemo u obzir da Podgorica ima više od 180 000 stanovnika, a JU Dnevni centar je licenciran sa kapacitetom od 20 korisnika jasna je potreba za dodatnim prostorom. Zainteresovanost roditelja za uslugu dnevnog boravka je sve više prisutna, međutim kako je kapacitet popunjen Centar za socijalno rad (CSR) je formirao listu čekanja.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Zaključujemo na osnovu navedenih nedostataka da bi trebalo obezbijediti prostor (dvorište i objekat) koji po površini i funkcionalnosti zadovoljava standarde, a više odgovara potrebama korisnika i njihovih porodica. Na taj način obezbjeđuje se poštovanje prava OSI i proširuje se kapacitet ove usluge kako bi se izašlo u susret rastućim potrebama na nivou lokalne zajednice.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Pored toga što prostorni i kadrovski kapacitet JU Dnevni centar nije dovoljan za postojeće potrebe Glavnog grada, sve veće interesovanje porodica za uslugu koja bi se pružala odraslim licima sa razvojnim smetnjama navodi na zaključak da je neophodno formiranje usluge podrška za život u zajednici i dnevni boravak 27+. </w:t>
      </w:r>
    </w:p>
    <w:p w:rsidR="00E944C2" w:rsidRDefault="00F7666C" w:rsidP="00E36C81">
      <w:pPr>
        <w:pStyle w:val="Normal1"/>
        <w:spacing w:line="360" w:lineRule="auto"/>
        <w:ind w:left="-88"/>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Jedan od bitnih razloga za formiranje usluga socijalne zaštite na lokalnom nivou, posebno kada su u pitanju usluge pružanja podrške za život u zajednici namijenjene osobama sa invaliditetom (da preciziramo, osobama sa razvojnim smetnjama) jeste korak naprijed ka deinstitucionalizaciji. Rad sa osobama sa razvojnim smetnjama podrazumijeva cjeloživotnu podršku kako korisniku usluge, tako i cijeloj porodici. Uzimajući to u obzir, ako za korisnike usluge dnevnog boravka ne postoji nastavak pružanja podrške i nakon 27 godine onda bi i sama usluga dnevnog boravka za djecu i mlade izgubila smisao. Sav rad na osamostaljivanju i unapređivanjeu vještina korisnika bi bio uzaludan ako nije kontinuiran odnosno ako na lokalnom nivou ne postoji podrška za osobe sa invaliditetom nakon njihovog ulaska u odraslo doba.</w:t>
      </w:r>
    </w:p>
    <w:p w:rsidR="0012318F" w:rsidRDefault="0012318F" w:rsidP="00E36C81">
      <w:pPr>
        <w:pStyle w:val="Normal1"/>
        <w:spacing w:line="360" w:lineRule="auto"/>
        <w:ind w:left="-88"/>
        <w:jc w:val="both"/>
        <w:rPr>
          <w:rFonts w:ascii="Times New Roman" w:eastAsia="Times New Roman" w:hAnsi="Times New Roman" w:cs="Times New Roman"/>
          <w:sz w:val="24"/>
          <w:szCs w:val="24"/>
        </w:rPr>
      </w:pPr>
    </w:p>
    <w:p w:rsidR="00E944C2" w:rsidRDefault="00F7666C" w:rsidP="00316155">
      <w:pPr>
        <w:pStyle w:val="Heading3"/>
        <w:jc w:val="both"/>
        <w:rPr>
          <w:shd w:val="clear" w:color="auto" w:fill="F2F2F2"/>
        </w:rPr>
      </w:pPr>
      <w:bookmarkStart w:id="61" w:name="_Toc212039543"/>
      <w:r>
        <w:rPr>
          <w:shd w:val="clear" w:color="auto" w:fill="F2F2F2"/>
        </w:rPr>
        <w:t>2.17.3.2. Uslovi stanovanja i stambena politika</w:t>
      </w:r>
      <w:bookmarkEnd w:id="61"/>
    </w:p>
    <w:p w:rsidR="00E944C2" w:rsidRDefault="00E944C2" w:rsidP="00316155">
      <w:pPr>
        <w:pStyle w:val="Normal1"/>
        <w:jc w:val="both"/>
      </w:pPr>
    </w:p>
    <w:p w:rsidR="00E944C2" w:rsidRDefault="00F7666C" w:rsidP="00E36C81">
      <w:pPr>
        <w:pStyle w:val="Normal1"/>
        <w:spacing w:before="60"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staranjesprovodi više programa u oblasti stanovanja s ciljem unapređenja životnih uslova socijalno ugroženih građana. Odlukom o davanju stanova u zakup licima u stanju socijalne potrebe ("Službeni list Crne Gore - opštinski propisi", br. 47/20) propisani su postupak i kriterijumi za davanje stanova u zakup licima u stanju socijalne potrebe. Odlukom o načinu korišćenja i cijeni zakupa stanova dodijeljenih licima u stanju socijalne potrebe ("Službeni list Crne Gore - opštinski propisi", br. 47/21, 5/22)utvrđuju se pored uslova i načina davanja stanova u zakup, i visina zakupnine i način korišćenja stanova koji su u vlasništvu Glavnog grada ili su mu ustupljeni radi davanja u zakup.</w:t>
      </w:r>
    </w:p>
    <w:p w:rsidR="00E944C2" w:rsidRDefault="00F7666C" w:rsidP="00E36C81">
      <w:pPr>
        <w:pStyle w:val="Normal1"/>
        <w:spacing w:before="60"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Shodno Odluci o pravima iz socijalne i dječje zaštite ("Službeni list Crne Gore - opštinski propisi", br. 12/25) propisan je postupak za ostvarivanje prava na naknadu dijela troškova zakupnine. Ovo pravo, odnosno subvenciju za podstanare, u 2024. godini ostvarila su 134 podstanara sa prebivalištem u Podgorici, a u 2025. godini  217 podstanara. Mjesečni iznos subvencije u 2024. godini iznosio je 50,00 eura, dok je u 2025. godini, u skladu s novom Odlukom, povećan na100,00 eura mjesečno. Subvencioniranje se odobrava na period do 12 mjeseci, odnosno u skladu s trajanjem ugovora o zakupu. </w:t>
      </w:r>
    </w:p>
    <w:p w:rsidR="00E944C2" w:rsidRDefault="00F7666C" w:rsidP="00E36C81">
      <w:pPr>
        <w:pStyle w:val="Normal1"/>
        <w:spacing w:before="60" w:after="6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 takođe raspolaže sa dvije stambene jedinice namijenjene realizaciji usluge stanovanja uz podršku. Shodno Odluci o pravima iz socijalne i dječje zaštite usluga stanovanja uz podršku za mlade koji se osamostaljuju obezbjeđuje se omladini bez roditeljskog staranja kojima prestaje pravo na smještaj u ustanovi socijalne zaštite, odnosno hraniteljskoj porodici, kao i alternativa smještaja u ustanovi socijalne zaštite, ili u drugoj porodici, radi završetka redovnog školovanja ili osposobljavanja za samostalan život pod uslovom: da ne postoji mogućnost povratka u ustanovu ili srodničku porodicu; da je planom otpusta utvrđeno da je stanovanje uz podršku najcjelishodniji oblik zaštite i da postoji saglasnost korisnika, odnosno njegovog staratelja.</w:t>
      </w:r>
    </w:p>
    <w:p w:rsidR="00E944C2" w:rsidRDefault="00E944C2" w:rsidP="00316155">
      <w:pPr>
        <w:pStyle w:val="Heading3"/>
        <w:jc w:val="both"/>
      </w:pPr>
    </w:p>
    <w:p w:rsidR="00E944C2" w:rsidRDefault="00F7666C" w:rsidP="00316155">
      <w:pPr>
        <w:pStyle w:val="Heading3"/>
        <w:jc w:val="both"/>
      </w:pPr>
      <w:bookmarkStart w:id="62" w:name="_Toc212039544"/>
      <w:r>
        <w:t>2.17.3.3. Unapređenje infrastrukture i podrške za rehabilitaciju zavisnika</w:t>
      </w:r>
      <w:bookmarkEnd w:id="62"/>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Javna ustanova za smeštaj, rehabilitaciju i resocijalizaciju korisnika PAS pruža stacionarni tretman zavisnicima i zavisnicama u okviru dva Sektora. Kako je Sektor za tretman zavisnika izgrađen 2008. godine neophodna su ulaganja u rekonstrukcije pojedinih infrastrukturnih djelova. Pažljivim planiranjem radi se na renoviranju smještajnih jedinica, ali svakako bi bilo značajno da se rekonstrukcije soba nastave. Pored infrastrukturnih nedostataka potrebno je veće umrežavanje svih institucija kako bi se segmenat resocijalizacije podigao na veći nivo npr.nakon završetka tretmana veća mogućnost pordške u zapošljavanju za klijente/kinje, što doprinosi i smanjenju stigme i diskriminacije za ovu populaciju. Od izuzetne važnosti je i podrške u finansijskom smislu kako bi se održale osnovane radionice u okviru radno-okupacione terapije za klijente/kinje, a koje mogu imati višestruke benafite kao što su angažman klijenata/kina a sa druge strane proizvode koji mogu biti od koristi firmama i preduzećima Glavnog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Javna ustanova je jedina ustanova na teritoriji ne samo Glavnog grada već i cijele Crne Gore koja pruža rehabilitaciju i resocijalizaciju zavisnika i zavisnica. Ovakav tip ustanove je specifičan i u okruženju pa je čini velikim potencijalom. Ako posmatramo i sa socijalne strane značaj ustanove je nemjerljiv jer je riječ o ustanovi koja omogućava promjenu života ljudi koji su bili destruktivni a nakon tretman bivaju korisni članovi društva, čiji su životi u suštini spašeni tretmanom u Ustanovi. Pored građana Crne Gore tokom prethodnih godina pomoć su tražili i stranci što govori o kvalitetu rada i tretmana za kojim postoji potreba, a zasnovana je na iskustvu spašenih života.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Javna ustanova je tokom prethodog perioda obezbjeđivala unspređenje trermana posredstvom različitih projekata. U budućem periodu planira se praćenje mogućnosti za razvoj sadržaja koji su namijenjeni klijentima/kinjama. (Pokrenuta još jedna radionica radon - okupacione terapije, prosječan broj klijenata koji bi učestvovali 25).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Javna ustanova koristi sredstva tehničkih komunikacija. Učestvuje u sistemu 24h za građane, koji bi imali potrebu informisanja na temu tretmana. Takođe, planirano je praćenje i razvoj modernih sredstava komunikacije kojima bi informacije bile još dostupnije građanima. Ustanova ima svoj zvaničan sajt, facebook stranicu, instagram stranicu kao i Youtube kanal. Kako su klijenti Javne ustanove grupacija koja je često marginalizovana u društvu planiran je rad posredstvom medija, javnih tribina kako bi se svijest javnosti podigla na veći nivo razumijevanja bolesti zavisnosti, a onda samim time i zavisnika i zavisnica. Od izuzetne je važnosti uvrstiti oporavak kao metodološki okvir u dokumenta koja se tiču regulacije polja zavisnosti i tretmanaOporavak nudi okvir za postizanje potpune slobode od svih supstanci, omogućavajući zavisnicima da vode funkcionalne i ispunjene živote.</w:t>
      </w:r>
    </w:p>
    <w:p w:rsidR="00E944C2" w:rsidRDefault="00F7666C" w:rsidP="00316155">
      <w:pPr>
        <w:pStyle w:val="Heading2"/>
        <w:jc w:val="both"/>
      </w:pPr>
      <w:bookmarkStart w:id="63" w:name="_Toc212039545"/>
      <w:r>
        <w:t>2.18. Ekološki pregled</w:t>
      </w:r>
      <w:bookmarkEnd w:id="63"/>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Upravljanje otpadom predstavlja jedno od najznačajnijih pitanja održivog razvoja Glavnog grada Podgorice. Povećanje broja stanovnika, širenje urbanih zona i intenzivniji privredni razvoj doveli su do stalnog rasta količine komunalnog i građevinskog otpada. Zbog toga je efikasno, ekološki prihvatljivo i dugoročno održivo upravljanje otpadom od ključnog značaja za očuvanje životne sredine, javnog zdravlja i kvaliteta života građana.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“Deponija” d.o.o. Podgorica ima centralnu ulogu u sistemu prikupljanja, tretmana i odlaganja otpada na teritoriji Glavnog grada. Ipak, njen kapacitet, tehnička opremljenost i način upravljanja zahtijevaju stalno unapređenje u skladu sa važećim nacionalnim propisima, evropskim direktivama i principima cirkularne ekonomije. Poseban akcenat stavlja se na smanjenje količine otpada koji se trajno odlaže, povećanje stope reciklaže i razvoj sistema selektivnog prikupljanja i ponovne upotrebe sirovina.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deponije obuhvataju prikupljanje, transport, selekciju, obradu i konačno odlaganje otpada, uz stalni monitoring uticaja na životnu sredinu. Posebna pažnja posvećuje se zaštiti zemljišta, podzemnih i površinskih voda, kao i kvaliteta vazduha. Sprovođenjem mjera prevencije i sanacije, te modernizacijom postrojenja i uvođenjem novih tehnologija, deponija se postepeno transformiše iz mjesta za odlaganje otpada u centar za održivo upravljanje resursima.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Ovakav pristup omogućava usklađivanje sa strateškim ciljevima Glavnog grada – smanjenje zagađenja, efikasnije korišćenje prirodnih resursa i unapređenje ekološke svijesti građana.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Cilj ekološkog razvoja deponije jeste stvaranje modernog, održivog i efikasnog sistema upravljanja otpadom koji će doprinijeti smanjenju negativnih uticaja na životnu sredinu i povećanju kvaliteta života građana Podgorice. Ovaj cilj se ostvaruje kroz skup međusobno povezanih aktivnosti i mjera koje se sprovode u skladu sa nacionalnim i lokalnim strategijama zaštite životne sredine.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Ključni prioriteti ekološkog razvoja deponije su:</w:t>
      </w:r>
    </w:p>
    <w:p w:rsidR="00E944C2" w:rsidRDefault="00F7666C" w:rsidP="00E36C81">
      <w:pPr>
        <w:pStyle w:val="Normal1"/>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Smanjenje količine otpada koji se trajno odlaže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sistema primarne selekcije otpada na mjestu nastanka, razvoj infrastrukture za reciklažu i ponovno korišćenje sirovina, uvođenje savremenih tehnologija za obradu otpada sa ciljem smanjenja količine otpada koji se deponuje.</w:t>
      </w:r>
    </w:p>
    <w:p w:rsidR="00E944C2" w:rsidRDefault="00F7666C" w:rsidP="00E36C81">
      <w:pPr>
        <w:pStyle w:val="Normal1"/>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Modernizacija tehničke i operativne infrastrukture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Izgradnja novih sanitarnih kada (dvije), uvođenje sistema za prikupljanje i obradu deponijskog gasa za nove sanitarne kade (4,5,6), kao povezivanje istih na postojeći  sistem za tretman procjednih voda, kao I automatizacija postojećeg Reciklažnog centra, Izgradnja postrojenja za preradu građevinskog otpada, Postrojenja za pretvaranje deonijskog gasa u električnu energiju, Pogona za EE otpad I termička obrada otpada. </w:t>
      </w:r>
    </w:p>
    <w:p w:rsidR="00E944C2" w:rsidRDefault="00F7666C" w:rsidP="00E36C81">
      <w:pPr>
        <w:pStyle w:val="Normal1"/>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Praćenje i kontrola uticaja na životnu sredinu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Uspostavljanje kontinuiranog monitoringa kvaliteta vazduha, zemljišta i podzemnih voda u zoni uticaja deponije, kao i sprovođenje mjera za sprječavanje zagađenja i neprijatnih mirisa.</w:t>
      </w:r>
    </w:p>
    <w:p w:rsidR="00E944C2" w:rsidRDefault="00F7666C" w:rsidP="00E36C81">
      <w:pPr>
        <w:pStyle w:val="Normal1"/>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institucionalnih kapaciteta i podizanje svijesti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Jačanje kapaciteta službi i preduzeća, edukacija zaposlenih i građana o pravilnom postupanju sa otpadom, promocija principa cirkularne ekonomije i odgovornog odnosa prema životnoj sredini.</w:t>
      </w:r>
    </w:p>
    <w:p w:rsidR="00E944C2" w:rsidRDefault="00F7666C" w:rsidP="00E36C81">
      <w:pPr>
        <w:pStyle w:val="Normal1"/>
        <w:numPr>
          <w:ilvl w:val="0"/>
          <w:numId w:val="7"/>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Postepena tranzicija ka integrisanom centru za upravljanje otpadom</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Dugoročni cilj je transformacija postojećeg sistema u regionalni centar koji obuhvata sve faze – od prikupljanja i obrade do reciklaže i energetske valorizacije otpada. </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Deponija Podgorice je tokom 2024. i 2025. godine započela niz aktivnosti usmjerenih na unapređenje sistema upravljanja komunalnim otpadom i očuvanje životne sredine. Cilj ovih aktivnosti je smanjenje negativnih uticaja na okolinu, racionalno korišćenje deponijskog prostora i uvođenje održivih praksi upravljanju otpadom.</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Poseban značaj imaju projekti koji se odnose na odvojeno prikupljanje stakla, otpadnih ulja i ambalažnih materijala, čime je po prvi put uspostavljen savremeni model selektivnog prikupljanja otpada u Podgorici i postavljen temelj za razvoj cirkularne ekonomije.</w:t>
      </w:r>
    </w:p>
    <w:p w:rsidR="00E944C2" w:rsidRDefault="00E944C2">
      <w:pPr>
        <w:pStyle w:val="Heading3"/>
        <w:spacing w:line="360" w:lineRule="auto"/>
        <w:ind w:left="0" w:firstLine="0"/>
        <w:jc w:val="both"/>
        <w:rPr>
          <w:color w:val="000000"/>
        </w:rPr>
      </w:pPr>
      <w:bookmarkStart w:id="64" w:name="_89rc0pu7m4na" w:colFirst="0" w:colLast="0"/>
      <w:bookmarkEnd w:id="64"/>
    </w:p>
    <w:p w:rsidR="00E944C2" w:rsidRDefault="00F7666C" w:rsidP="00316155">
      <w:pPr>
        <w:pStyle w:val="Heading3"/>
        <w:jc w:val="both"/>
      </w:pPr>
      <w:bookmarkStart w:id="65" w:name="_Toc212039546"/>
      <w:r>
        <w:t>2.18.1. Upravljanje otpadom</w:t>
      </w:r>
      <w:bookmarkEnd w:id="65"/>
    </w:p>
    <w:p w:rsidR="00E944C2" w:rsidRDefault="00E944C2" w:rsidP="00316155">
      <w:pPr>
        <w:pStyle w:val="Normal1"/>
        <w:ind w:left="632"/>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Kada je riječ o upravljanju otpadom jedan od najvećih izazova je nesavjesno odlaganje raznog otpada na javnim površinama, kao i vandalizam koji je prisutan na komunalnim sadržajima. Naime, gradsko preduzeće „Čistoća“ d.o.o. svakodnevno ulaže maksimalne napore, koji se odnose na uklanjanje nelegalno odloženog otpada pored posuda za odlaganje komunalnog otpada, angažovanjem mehanizacije i radne snage, što prouzrokuje dodatne finansijske troškove.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pored ovih napora, kao i postavljanja tabli o zabrani odlaganja otpada pored posuda, nesavjesni pojedinci i dalje nastavljaju ovu praksu što u mnogome otežava svakodnevni rad, a samim tim i kvari sliku na prostorima na kojima se nalaze posude. I pored aktivnosti koje se kontinuirano preduzimaju, upravljanje komunalnim  otpadom nije na zadovoljavajućem nivou. Ključni problem je nedovoljno razvijena ekološka svijest građana i izostanak odgovornog odnosa prema otpadu koji se svakodnevno generiše. Posljedica toga je neselektivno sakupljanje i odlaganje otpada. Sve ovo utiče na nizak procenat selektivno sakupljenog otpada, a time i nemogućnost  njegove ponovne upotrebe i reciklaže. Usljed neadekvatnog odnosa prema otpadu, evidentan je i sve veći broj neuređenih odlagališta nepropisno odloženog otpada na javnim površinama, što devastira životnu sredinu. Osim negativnog ekološkog aspekta, ova pojava ima i negativan ekonomski aspekt, uzimajući u obzir i sve veći iznos neophodnih finansijskih sredstava potrebnih za njihovu sanaciju, koja se obezbjeđuju iz Budžeta Glavnog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Neophodno je dalje unapređenje primjene kaznenih mjera u upravljanju otpadom i jačati javnu svijest o značaju i prednostima održivog upravljanja otpadom, u skladu s ciljevima održivog razvoja. Ova strategija obuhvata ciljeve SDG 6 (6.b), koji se odnosi na podršku zajednicama u održivom korišćenju vodnih resursa, SDG 12 (12.6 i 12.8), koji uključuju podsticanje preduzeća na usvajanje praksi održivog razvoja i osiguranje informisanosti i svijesti javnosti o održivom razvoju i životnoj sredini, te SDG 17 (17.14 i 17.19), koji se fokusira na poboljšanje globalne usklađenosti politika za održivi razvoj i izgradnju kapaciteta za prikupljanje i analizu podataka. Kroz unapređenje zakonske regulative i kaznenih mjera za nepridržavanje propisa o upravljanju otpadom, te implementaciju sveobuhvatnih programa edukacije i informisanja, ovaj cilj će doprinijeti efikasnijem sistemu upravljanja otpadom.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jedan od izazova jeste odlaganja zapaljivih materija u polupodzemnim i nadzemnim kontejnerima, što prouzrokuje zapaljenje unutrašnje vreće, a često i zapaljenje kompletne posude. Pored ovoga učestalo je ispisivanje grafita na nišama za smještaj posuda, obaranja posuda i korpi za odlaganje sitnog otpada. Nadalje, na prostoru Glavnog grada Podgorica predstavlja nemogućnost postavljanja posuda za odlaganje komunalnog otpada, zbog nepostojanja adekvatnih – propisanih saobraćajno tehničkih uslova, kao i nemogućnost postavljanja polupodzemnih kontejnera zbog prisustva podzemnih instalacija.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većini gradskih mjesnih zajednica postoje ulice u kojima ne postoji dovoljna širina trotoarske ili zelene površine, na kojima bi se pozicionirale posude, uz prethodnu eventualnu izgradnju niskih ili visokih niša za njihov smještaj, što proizvodi problematiku udaljenosti posuda od individualnih stambenih objekata građana Podgorice. U saradnji sa gradskih službama („Agencija za razvoj i izgradnju“ d.o.o. Podgorica, „Putevi“ d.o.o. Podgorica) prilikom rekonstrukcija ulica i bulevara, Društvo vrši komunikaciju i terenski izlazak u cilju rješavanja ovakvih problema.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Cilj Glavnog grada u narednom periodu je uspostavljanje efikasne selekcije i reciklaže otpada, usklađujući se s ciljevima održivog razvoja SDG 12, koji se odnose na odgovornu potrošnju i proizvodnju (12.2: Osvježiti upravljanje prirodnim resursima i postići održivu proizvodnju i potrošnju, s ciljem smanjenja uticaja na životnu sredinu; 12.5: Drastično smanjiti količinu otpada kroz prevenciju, smanjenje, reciklažu i ponovnu upotrebu), kako bi se smanjila količina otpada i povećala stopa reciklaže. </w:t>
      </w:r>
      <w:r>
        <w:rPr>
          <w:rFonts w:ascii="Times New Roman" w:eastAsia="Times New Roman" w:hAnsi="Times New Roman" w:cs="Times New Roman"/>
          <w:sz w:val="24"/>
          <w:szCs w:val="24"/>
          <w:highlight w:val="white"/>
        </w:rPr>
        <w:t xml:space="preserve">U funkciji su regionalni reciklažni centar i šest reciklažnih dvorišta, a grad je postavio oko 3800 metalnih kontejnera za komunalni otpad i 103 polupodzemna </w:t>
      </w:r>
      <w:r>
        <w:rPr>
          <w:rFonts w:ascii="Times New Roman" w:eastAsia="Times New Roman" w:hAnsi="Times New Roman" w:cs="Times New Roman"/>
          <w:sz w:val="24"/>
          <w:szCs w:val="24"/>
        </w:rPr>
        <w:t>kontejnera, uz težnju za daljim unapređenjem tehnika razdvajanja otpada.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Sanitarna deponija Podgorica na lokalitetu Livade, kojom upravlja preduzeće “ Deponija d.o.o., izgrađena u skladu sa Evropskim standardima, predstavlja regionalni centar u upravljanju otpadom zbog svoje infrastrukturne razvijenosti i blizine, što predstavlja povoljne uslove za korišćenje kapaciteta uspostavljenog sistema, kao što su izgrađena postrojenja u okviru deponije za tretman otpada sa teritorije drugih opština (Danilovgrad, Prijestonica Cetinje,Tuzi, Zeta, Nikšić, Šavnik, Plužine, Mojkovac). Otpad se zbrinjava u sanitarne kade, na način bezbjedan po životnu sredinu.</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bookmarkStart w:id="66" w:name="_xhqsvzz8mdj2" w:colFirst="0" w:colLast="0"/>
      <w:bookmarkEnd w:id="66"/>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39656C" w:rsidRDefault="0039656C" w:rsidP="00E36C81">
      <w:pPr>
        <w:pStyle w:val="Normal1"/>
        <w:spacing w:line="360" w:lineRule="auto"/>
        <w:jc w:val="both"/>
        <w:rPr>
          <w:rFonts w:ascii="Times New Roman" w:eastAsia="Times New Roman" w:hAnsi="Times New Roman" w:cs="Times New Roman"/>
          <w:sz w:val="24"/>
          <w:szCs w:val="24"/>
        </w:rPr>
      </w:pPr>
    </w:p>
    <w:p w:rsidR="0039656C" w:rsidRDefault="0039656C" w:rsidP="00E36C81">
      <w:pPr>
        <w:pStyle w:val="Normal1"/>
        <w:spacing w:line="360" w:lineRule="auto"/>
        <w:jc w:val="both"/>
        <w:rPr>
          <w:rFonts w:ascii="Times New Roman" w:eastAsia="Times New Roman" w:hAnsi="Times New Roman" w:cs="Times New Roman"/>
          <w:sz w:val="24"/>
          <w:szCs w:val="24"/>
        </w:rPr>
      </w:pPr>
    </w:p>
    <w:p w:rsidR="00AD30E8" w:rsidRDefault="00AD30E8" w:rsidP="00E36C81">
      <w:pPr>
        <w:pStyle w:val="Normal1"/>
        <w:spacing w:line="360" w:lineRule="auto"/>
        <w:jc w:val="both"/>
        <w:rPr>
          <w:rFonts w:ascii="Times New Roman" w:eastAsia="Times New Roman" w:hAnsi="Times New Roman" w:cs="Times New Roman"/>
          <w:sz w:val="24"/>
          <w:szCs w:val="24"/>
        </w:rPr>
      </w:pPr>
    </w:p>
    <w:p w:rsidR="00AD30E8"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Grafikon broj  1. Dopremljene i tretirane količine komunalnog otpada na deponiji "Deponija"d.o.o. Podgorica u periodu od 2019. do 3. kvartala 2025. godine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noProof/>
          <w:lang w:val="en-US" w:eastAsia="en-US"/>
        </w:rPr>
        <w:drawing>
          <wp:inline distT="0" distB="0" distL="0" distR="0">
            <wp:extent cx="5934075" cy="2800350"/>
            <wp:effectExtent l="19050" t="0" r="9525" b="0"/>
            <wp:docPr id="20" name="image22.png"/>
            <wp:cNvGraphicFramePr/>
            <a:graphic xmlns:a="http://schemas.openxmlformats.org/drawingml/2006/main">
              <a:graphicData uri="http://schemas.openxmlformats.org/drawingml/2006/picture">
                <pic:pic xmlns:pic="http://schemas.openxmlformats.org/drawingml/2006/picture">
                  <pic:nvPicPr>
                    <pic:cNvPr id="20" name="image22.png"/>
                    <pic:cNvPicPr preferRelativeResize="0"/>
                  </pic:nvPicPr>
                  <pic:blipFill>
                    <a:blip r:embed="rId13" cstate="print"/>
                    <a:srcRect/>
                    <a:stretch>
                      <a:fillRect/>
                    </a:stretch>
                  </pic:blipFill>
                  <pic:spPr>
                    <a:xfrm>
                      <a:off x="0" y="0"/>
                      <a:ext cx="5934075" cy="2800350"/>
                    </a:xfrm>
                    <a:prstGeom prst="rect">
                      <a:avLst/>
                    </a:prstGeom>
                  </pic:spPr>
                </pic:pic>
              </a:graphicData>
            </a:graphic>
          </wp:inline>
        </w:drawing>
      </w:r>
    </w:p>
    <w:p w:rsidR="00E944C2" w:rsidRDefault="00F7666C" w:rsidP="00E36C81">
      <w:pPr>
        <w:pStyle w:val="Normal1"/>
        <w:spacing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 xml:space="preserve">Izvor: Deponija d.o.o. </w:t>
      </w:r>
    </w:p>
    <w:p w:rsidR="00E944C2" w:rsidRDefault="00E944C2" w:rsidP="00E36C81">
      <w:pPr>
        <w:pStyle w:val="Normal1"/>
        <w:spacing w:line="24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Grafikon broj 2. Broj korisnika usluga deponovanja komunalnog otpada za pravna lica u periodu od 2019. do 3. kvartala 2025. godine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noProof/>
          <w:lang w:val="en-US" w:eastAsia="en-US"/>
        </w:rPr>
        <w:drawing>
          <wp:inline distT="0" distB="0" distL="0" distR="0">
            <wp:extent cx="5715000" cy="2667000"/>
            <wp:effectExtent l="0" t="0" r="0" b="0"/>
            <wp:docPr id="15" name="image8.png"/>
            <wp:cNvGraphicFramePr/>
            <a:graphic xmlns:a="http://schemas.openxmlformats.org/drawingml/2006/main">
              <a:graphicData uri="http://schemas.openxmlformats.org/drawingml/2006/picture">
                <pic:pic xmlns:pic="http://schemas.openxmlformats.org/drawingml/2006/picture">
                  <pic:nvPicPr>
                    <pic:cNvPr id="15" name="image8.png"/>
                    <pic:cNvPicPr preferRelativeResize="0"/>
                  </pic:nvPicPr>
                  <pic:blipFill>
                    <a:blip r:embed="rId14" cstate="print"/>
                    <a:srcRect/>
                    <a:stretch>
                      <a:fillRect/>
                    </a:stretch>
                  </pic:blipFill>
                  <pic:spPr>
                    <a:xfrm>
                      <a:off x="0" y="0"/>
                      <a:ext cx="5715115" cy="2667000"/>
                    </a:xfrm>
                    <a:prstGeom prst="rect">
                      <a:avLst/>
                    </a:prstGeom>
                  </pic:spPr>
                </pic:pic>
              </a:graphicData>
            </a:graphic>
          </wp:inline>
        </w:drawing>
      </w:r>
    </w:p>
    <w:p w:rsidR="00E944C2" w:rsidRDefault="00F7666C" w:rsidP="00316155">
      <w:pPr>
        <w:pStyle w:val="Normal1"/>
        <w:jc w:val="both"/>
        <w:rPr>
          <w:rFonts w:ascii="Times New Roman" w:eastAsia="Times New Roman" w:hAnsi="Times New Roman" w:cs="Times New Roman"/>
          <w:i/>
        </w:rPr>
      </w:pPr>
      <w:r>
        <w:rPr>
          <w:rFonts w:ascii="Times New Roman" w:eastAsia="Times New Roman" w:hAnsi="Times New Roman" w:cs="Times New Roman"/>
          <w:i/>
        </w:rPr>
        <w:t xml:space="preserve">Izvor: Deponija d.o.o.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Grafički prikaz pokazuje značajan porast broja korisnika usluga pravnih lica u periodu od 2019. do 2025. godine. Ovaj trend rasta u količini deponovanog komunalnog otpada može se pripisati povećanju broja stanovnika i širenju teritorije koja zahtijeva ove usluge. Da bi se uspostavio održiv sistem upravljanja otpadom, ključna je ponovna upotreba i reciklaža, pri čemu je primarna selekcija (odnosno pravilno odlaganje otpada) osnovni preduslov za efikasnu reciklažu. Iako se sekundarna selekcija vrši u Reciklažnom centru, gradskog preduzeća Deponija d.o.o., trenutni procenat recikliranih materijala ostaje nizak, što ukazuje na potrebu za poboljšanjem u skladu sa standardima propisanim Direktivom o deponijama. Ovaj izazov zahtijeva dodatne napore kako bi se povećala efikasnost reciklaže i osiguralo održivo upravljanje otpadom u skladu s propisanim normama.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prethodnom periodu, “Deponija” d.o.o. je značajno unaprijedila svoje poslovanje i započela sprovođenje niza aktivnosti koje doprinose očuvanju životne sredine i usklađivanju sa evropskim standardima upravljanja otpadom.</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 aprila 2024. godine, deponija je po prvi put u Crnoj Gori započela organizovano prikupljanje stakla, koje se do tada smještalo na sanitarnim kadama. Ova aktivnost predstavlja važan korak ka razvoju sistema selektivnog prikupljanja otpada i smanjenju količina koje se trajno odlažu a sanitarniim kadama.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Izdvajanjem stakla iz toka komunalnog otpada smanjuje se zapremina otpada koji se deponuje, čime se čuva prostor na sanitarnim kadama i produžava vijek trajanja deponijskog prostora. Staklo, kao materijal koji se ne razgrađuje i ne može se kompresovati, zauzima znatnu zapreminu u sanitarnim kadama, pa njegovo odvojeno prikupljanje doprinosi racionalnijem i ekonomičnijem korišćenju deponijskog prostora.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 aprila 2025. godine, deponija je započela i prikupljanje otpadnih ulja iz ugostiteljskih objekata, čime se sprečava njihovo nepropisno odlaganje i potencijalno zagađenje voda i zemljišta. Ova aktivnost ima poseban značaj jer doprinosi bezbjednijem i odgovornijem upravljanju otpadom i usklađivanju sa evropskim propisima o zaštiti životne sredine.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Tokom avgusta 2025. godine, deponija je dodatno unaprijedila svoje aktivnosti postavljanjem namjenskih koševa za odlaganje ambalažnog otpada (papir, karton, PVC i najlon folija) na sedam lokacija u gradu, dok je planirano postavljanje koševa na još osam lokacija u narednom period, kao i pres i abrol  kontejnera za prikupljanje kartona. Time je stvoren osnov za razvoj mreže punktova za selektivno prikupljanje otpada na teritoriji Glavnog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 aktivnosti potvrđuju opredijeljenost Glavnog grada i nadležnih komunalnih službi da kontinuirano unapređuju sistem upravljanja komunalnim otpadom, uz sprovođenje mjera koje doprinose zaštiti zemljišta, voda i vazduha. Dalji razvoj biće usmjeren na modernizaciju infrastrukture, uvođenje novih tehnologija obrade i reciklaže otpada, te jačanje svijesti građana o značaju pravilnog odlaganja i ponovne upotrebe sirovina.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Osim  obezbjeđivanja komunalne infrastrukture, realizovane su edukativne kampanje, projekti i ekološke akcije na podizanju ekološke svijesti građana, putem kojih su djeca predškolskog i školskog uzrasta, i građani upoznati sa postojećom izgrađenom infrastrukturom, značajem selekcije otpada koji generišu, lokacijama reciklažnih dvorišta i načinom njihovog korišćenja, važećom zakonskom regulativom koja reguliše oblast upravljanja otpadom,  obavezama i kaznenom politikom. Akcenat ovih aktivnosti stavljen je na značaj uspostavljanja primarne selekcije i benefita koji lokalna zajednica na taj način obezbjeđuje.</w:t>
      </w:r>
    </w:p>
    <w:p w:rsidR="00E944C2" w:rsidRDefault="00F7666C" w:rsidP="00E36C81">
      <w:pPr>
        <w:pStyle w:val="Normal1"/>
        <w:spacing w:line="360" w:lineRule="auto"/>
        <w:jc w:val="both"/>
      </w:pPr>
      <w:r>
        <w:rPr>
          <w:rFonts w:ascii="Times New Roman" w:eastAsia="Times New Roman" w:hAnsi="Times New Roman" w:cs="Times New Roman"/>
          <w:sz w:val="24"/>
          <w:szCs w:val="24"/>
        </w:rPr>
        <w:t>Pored odlaganja komunalnog otpada u posudama raspoređenim na području grada, građani od kraja 2011. godine imaju mogućnost da pojedine vrste neopasnih i opasnih otpada, koje stvaraju u svojim domaćinstvima, bez naknade odlažu na šest reciklažnih dvorišta – u Ulici Iva Vizina na Zabjelu, Bulevaru Mihaila Lalića u Tološima, u Ulici Husinskih rudara na Koniku, u Orijenskoj ulici na Zlatici, u Ulici Kritskog odreda u Donjoj Gorici i u Opštini Zeta - Goričani.</w:t>
      </w:r>
    </w:p>
    <w:p w:rsidR="00E944C2" w:rsidRDefault="00F7666C" w:rsidP="00E36C81">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Ovi komunalni sadržaji rezultat su implementacije predviđenih sadržaja u komunalnoj oblasti, kako iz Strateškog plana razvoja Glavnog grada Podgorica u periodu od 2012. do 2017. godine, tako i iz Plana upravljanja komunalnim i neopasnim građevinskim otpadom u Glavnom gradu Podgorica, za period od 2016. do 2020. godine.</w:t>
      </w:r>
    </w:p>
    <w:p w:rsidR="00E944C2" w:rsidRDefault="00F7666C" w:rsidP="00E36C81">
      <w:pPr>
        <w:pStyle w:val="Normal1"/>
        <w:spacing w:after="0" w:line="360" w:lineRule="auto"/>
        <w:jc w:val="both"/>
      </w:pPr>
      <w:r>
        <w:rPr>
          <w:rFonts w:ascii="Times New Roman" w:eastAsia="Times New Roman" w:hAnsi="Times New Roman" w:cs="Times New Roman"/>
          <w:sz w:val="24"/>
          <w:szCs w:val="24"/>
        </w:rPr>
        <w:t>Reciklažnim dvorištima, kojima trenutno upravlja gradsko preduzeće Čistoća d.o.o., su posebno opremljeni i nadzirani prostori, na kojima građani besplatno odlažu pojedine vrste neopasnog i opasnog otpada, koje produkuju u svojim domaćinstvima. Na reciklažnim dvorištima obezbijeđene su posude za: papir, plastični krupni otpad, kartonsku ambalažu, PET ambalažu, Al limenke, polietilenske folije, ambalažno staklo, otpadno ravno staklo, gume, drvni otpad, stiropor, metalni krupni otpad, bijelu tehniku, jestiva i otpadna motorna ulja, stara ulja, stare akumulatore, uljne filtere, fluorescentne cijevi, otpadne boje i lakove, stare baterije, elektronski otpad, stare ljekove.</w:t>
      </w:r>
    </w:p>
    <w:p w:rsidR="00E944C2" w:rsidRDefault="00F7666C" w:rsidP="00E36C81">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Da su građani Podgorice u značajnoj mjeri prihvatili potrebu postojanja funkcionisanja ovakvih komunalnih sadržaja, svjedoče i podaci o odloženim količinama u prethodnim godinama (prilog tabela). Izvjesno je da će i u narednim godinama biti prisutan porast odloženih količina otpada na ovim komunalim objektima. Inače, reciklažna dvorišta u Podgorici predstavljaju pozitivan primjer, i u potpunosti su usklađena sa evropskim direktivama za pravilno upravljanje otpadom i ista čine značajnu podršku poglavlju 27 - Zaštita životne sredine, pa su kao takva i preuzeta u Nacionalnoj strategiji i Nacionalnom planu.</w:t>
      </w:r>
    </w:p>
    <w:p w:rsidR="00E944C2" w:rsidRDefault="00E944C2" w:rsidP="00E36C81">
      <w:pPr>
        <w:pStyle w:val="Normal1"/>
        <w:spacing w:after="0" w:line="360" w:lineRule="auto"/>
        <w:jc w:val="both"/>
        <w:rPr>
          <w:rFonts w:ascii="Times New Roman" w:eastAsia="Times New Roman" w:hAnsi="Times New Roman" w:cs="Times New Roman"/>
          <w:sz w:val="24"/>
          <w:szCs w:val="24"/>
        </w:rPr>
      </w:pPr>
    </w:p>
    <w:p w:rsidR="00E944C2" w:rsidRDefault="00F7666C" w:rsidP="00E36C81">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sadašnjih šest reciklažnih dvorišta angažovani su izvršioci, koji rade poslove prijema, postupak mjerenja i evidentiranja primljenih količina otpada, prate popunjenost posuda i obavještavaju o potrebi organizovanja prenosa otpada do mjesta obrade otpada. Takođe, zaduženi su i za poslove obezbjeđivanja objekata - čuvanje imovine. </w:t>
      </w:r>
    </w:p>
    <w:p w:rsidR="00E944C2" w:rsidRDefault="00E944C2" w:rsidP="00E36C81">
      <w:pPr>
        <w:pStyle w:val="Normal1"/>
        <w:spacing w:after="0" w:line="360" w:lineRule="auto"/>
        <w:ind w:firstLine="720"/>
        <w:jc w:val="both"/>
        <w:rPr>
          <w:rFonts w:ascii="Times New Roman" w:eastAsia="Times New Roman" w:hAnsi="Times New Roman" w:cs="Times New Roman"/>
          <w:sz w:val="24"/>
          <w:szCs w:val="24"/>
        </w:rPr>
      </w:pPr>
    </w:p>
    <w:p w:rsidR="00E944C2" w:rsidRDefault="00F7666C">
      <w:pPr>
        <w:pStyle w:val="Normal1"/>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Ovi prostori namijenjeni su za besplatno odlaganje predviđenih vrsta otpada svakog radnog dana od 07 do 21h, subotom od 07 do 17h i nedeljom 07 do 21h na dežurnim reciklažnim dvorištima u Ulici Iva Vizina na Zabjelu i Bulevaru Mihaila Lalića u Tološima.</w:t>
      </w:r>
    </w:p>
    <w:p w:rsidR="00E944C2" w:rsidRDefault="00E944C2">
      <w:pPr>
        <w:pStyle w:val="Normal1"/>
        <w:spacing w:after="0" w:line="240" w:lineRule="auto"/>
        <w:jc w:val="both"/>
        <w:rPr>
          <w:rFonts w:ascii="Times New Roman" w:eastAsia="Times New Roman" w:hAnsi="Times New Roman" w:cs="Times New Roman"/>
          <w:sz w:val="24"/>
          <w:szCs w:val="24"/>
        </w:rPr>
      </w:pPr>
    </w:p>
    <w:p w:rsidR="00E944C2" w:rsidRDefault="00E944C2">
      <w:pPr>
        <w:pStyle w:val="Normal1"/>
        <w:spacing w:after="0" w:line="240" w:lineRule="auto"/>
        <w:jc w:val="both"/>
        <w:rPr>
          <w:rFonts w:ascii="Times New Roman" w:eastAsia="Times New Roman" w:hAnsi="Times New Roman" w:cs="Times New Roman"/>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broj 22. Ukupno sakupljene količine otpada na šest reciklažnih dvorišta za 2023. godinu </w:t>
      </w:r>
    </w:p>
    <w:p w:rsidR="00E944C2" w:rsidRDefault="00E944C2" w:rsidP="00316155">
      <w:pPr>
        <w:pStyle w:val="Normal1"/>
        <w:spacing w:after="0" w:line="240" w:lineRule="auto"/>
        <w:jc w:val="both"/>
        <w:rPr>
          <w:rFonts w:ascii="Times New Roman" w:eastAsia="Times New Roman" w:hAnsi="Times New Roman" w:cs="Times New Roman"/>
        </w:rPr>
      </w:pPr>
    </w:p>
    <w:tbl>
      <w:tblPr>
        <w:tblStyle w:val="56"/>
        <w:tblpPr w:leftFromText="180" w:rightFromText="180" w:vertAnchor="text" w:tblpX="115"/>
        <w:tblW w:w="9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26"/>
        <w:gridCol w:w="1147"/>
        <w:gridCol w:w="1411"/>
        <w:gridCol w:w="1235"/>
        <w:gridCol w:w="1147"/>
        <w:gridCol w:w="1323"/>
        <w:gridCol w:w="1066"/>
        <w:gridCol w:w="880"/>
      </w:tblGrid>
      <w:tr w:rsidR="00E944C2">
        <w:trPr>
          <w:cantSplit/>
          <w:trHeight w:val="1123"/>
          <w:tblHeader/>
        </w:trPr>
        <w:tc>
          <w:tcPr>
            <w:tcW w:w="102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Vrsta otpada</w:t>
            </w:r>
          </w:p>
        </w:tc>
        <w:tc>
          <w:tcPr>
            <w:tcW w:w="1147"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Iva Vizina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(Zabjelo)</w:t>
            </w:r>
          </w:p>
        </w:tc>
        <w:tc>
          <w:tcPr>
            <w:tcW w:w="1411"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na Bulevaru Mihaila Lalića (Tološi)</w:t>
            </w:r>
          </w:p>
        </w:tc>
        <w:tc>
          <w:tcPr>
            <w:tcW w:w="1235"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Husinskih rudara (Konik)</w:t>
            </w:r>
          </w:p>
        </w:tc>
        <w:tc>
          <w:tcPr>
            <w:tcW w:w="1147"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Orjenskoj</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(Zlatica)</w:t>
            </w:r>
          </w:p>
        </w:tc>
        <w:tc>
          <w:tcPr>
            <w:tcW w:w="1323"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Kritskog odreda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(Donja Gorica)</w:t>
            </w:r>
          </w:p>
        </w:tc>
        <w:tc>
          <w:tcPr>
            <w:tcW w:w="1066" w:type="dxa"/>
            <w:shd w:val="clear" w:color="auto" w:fill="9CC3E5"/>
          </w:tcPr>
          <w:p w:rsidR="00E944C2" w:rsidRDefault="00E944C2" w:rsidP="00316155">
            <w:pPr>
              <w:pStyle w:val="Normal1"/>
              <w:spacing w:after="0" w:line="240" w:lineRule="auto"/>
              <w:jc w:val="both"/>
              <w:rPr>
                <w:rFonts w:ascii="Times New Roman" w:eastAsia="Times New Roman" w:hAnsi="Times New Roman" w:cs="Times New Roman"/>
                <w:b/>
                <w:sz w:val="18"/>
                <w:szCs w:val="18"/>
              </w:rPr>
            </w:pP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Goričani</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Opština Zeta</w:t>
            </w:r>
          </w:p>
        </w:tc>
        <w:tc>
          <w:tcPr>
            <w:tcW w:w="880"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Ukupno (kg)</w:t>
            </w:r>
          </w:p>
        </w:tc>
      </w:tr>
      <w:tr w:rsidR="00E944C2">
        <w:trPr>
          <w:cantSplit/>
          <w:trHeight w:val="447"/>
          <w:tblHeader/>
        </w:trPr>
        <w:tc>
          <w:tcPr>
            <w:tcW w:w="1026"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Opasni otpad</w:t>
            </w:r>
          </w:p>
        </w:tc>
        <w:tc>
          <w:tcPr>
            <w:tcW w:w="114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1.853</w:t>
            </w:r>
          </w:p>
        </w:tc>
        <w:tc>
          <w:tcPr>
            <w:tcW w:w="1411"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4.939</w:t>
            </w:r>
          </w:p>
        </w:tc>
        <w:tc>
          <w:tcPr>
            <w:tcW w:w="1235"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1.037</w:t>
            </w:r>
          </w:p>
        </w:tc>
        <w:tc>
          <w:tcPr>
            <w:tcW w:w="114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2.399</w:t>
            </w:r>
          </w:p>
        </w:tc>
        <w:tc>
          <w:tcPr>
            <w:tcW w:w="132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1.183</w:t>
            </w:r>
          </w:p>
        </w:tc>
        <w:tc>
          <w:tcPr>
            <w:tcW w:w="106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512</w:t>
            </w:r>
          </w:p>
        </w:tc>
        <w:tc>
          <w:tcPr>
            <w:tcW w:w="880"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11.923</w:t>
            </w:r>
          </w:p>
        </w:tc>
      </w:tr>
      <w:tr w:rsidR="00E944C2">
        <w:trPr>
          <w:cantSplit/>
          <w:trHeight w:val="397"/>
          <w:tblHeader/>
        </w:trPr>
        <w:tc>
          <w:tcPr>
            <w:tcW w:w="1026" w:type="dxa"/>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Neopasni otpad</w:t>
            </w:r>
          </w:p>
        </w:tc>
        <w:tc>
          <w:tcPr>
            <w:tcW w:w="1147"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249.679</w:t>
            </w:r>
          </w:p>
        </w:tc>
        <w:tc>
          <w:tcPr>
            <w:tcW w:w="1411"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22.707</w:t>
            </w:r>
          </w:p>
        </w:tc>
        <w:tc>
          <w:tcPr>
            <w:tcW w:w="1235"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5.678</w:t>
            </w:r>
          </w:p>
        </w:tc>
        <w:tc>
          <w:tcPr>
            <w:tcW w:w="1147"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13.398</w:t>
            </w:r>
          </w:p>
        </w:tc>
        <w:tc>
          <w:tcPr>
            <w:tcW w:w="1323"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6.361</w:t>
            </w:r>
          </w:p>
        </w:tc>
        <w:tc>
          <w:tcPr>
            <w:tcW w:w="106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9.192</w:t>
            </w:r>
          </w:p>
        </w:tc>
        <w:tc>
          <w:tcPr>
            <w:tcW w:w="880"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307.015</w:t>
            </w:r>
          </w:p>
        </w:tc>
      </w:tr>
      <w:tr w:rsidR="00E944C2">
        <w:trPr>
          <w:cantSplit/>
          <w:trHeight w:val="334"/>
          <w:tblHeader/>
        </w:trPr>
        <w:tc>
          <w:tcPr>
            <w:tcW w:w="1026"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 (kg)</w:t>
            </w:r>
          </w:p>
        </w:tc>
        <w:tc>
          <w:tcPr>
            <w:tcW w:w="114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251.532</w:t>
            </w:r>
          </w:p>
        </w:tc>
        <w:tc>
          <w:tcPr>
            <w:tcW w:w="1411"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27.646</w:t>
            </w:r>
          </w:p>
        </w:tc>
        <w:tc>
          <w:tcPr>
            <w:tcW w:w="1235"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6.715</w:t>
            </w:r>
          </w:p>
        </w:tc>
        <w:tc>
          <w:tcPr>
            <w:tcW w:w="114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15.797</w:t>
            </w:r>
          </w:p>
        </w:tc>
        <w:tc>
          <w:tcPr>
            <w:tcW w:w="132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7.544</w:t>
            </w:r>
          </w:p>
        </w:tc>
        <w:tc>
          <w:tcPr>
            <w:tcW w:w="106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9.704</w:t>
            </w:r>
          </w:p>
        </w:tc>
        <w:tc>
          <w:tcPr>
            <w:tcW w:w="880"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318.938</w:t>
            </w:r>
          </w:p>
        </w:tc>
      </w:tr>
    </w:tbl>
    <w:p w:rsidR="00E944C2" w:rsidRDefault="00F7666C" w:rsidP="00316155">
      <w:pPr>
        <w:pStyle w:val="Normal1"/>
        <w:spacing w:after="0" w:line="240" w:lineRule="auto"/>
        <w:jc w:val="both"/>
        <w:rPr>
          <w:rFonts w:ascii="Times New Roman" w:eastAsia="Times New Roman" w:hAnsi="Times New Roman" w:cs="Times New Roman"/>
          <w:i/>
          <w:sz w:val="24"/>
        </w:rPr>
      </w:pPr>
      <w:r>
        <w:rPr>
          <w:rFonts w:ascii="Times New Roman" w:eastAsia="Times New Roman" w:hAnsi="Times New Roman" w:cs="Times New Roman"/>
        </w:rPr>
        <w:br/>
      </w:r>
      <w:r>
        <w:rPr>
          <w:rFonts w:ascii="Times New Roman" w:eastAsia="Times New Roman" w:hAnsi="Times New Roman" w:cs="Times New Roman"/>
          <w:i/>
          <w:sz w:val="24"/>
        </w:rPr>
        <w:t xml:space="preserve">Izvor: Deponija d.o.o. </w:t>
      </w: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900D75" w:rsidRDefault="00900D75" w:rsidP="00316155">
      <w:pPr>
        <w:pStyle w:val="Normal1"/>
        <w:spacing w:after="0" w:line="240" w:lineRule="auto"/>
        <w:jc w:val="both"/>
        <w:rPr>
          <w:rFonts w:ascii="Times New Roman" w:eastAsia="Times New Roman" w:hAnsi="Times New Roman" w:cs="Times New Roman"/>
        </w:rPr>
      </w:pPr>
    </w:p>
    <w:p w:rsidR="00900D75" w:rsidRDefault="00900D75" w:rsidP="00316155">
      <w:pPr>
        <w:pStyle w:val="Normal1"/>
        <w:spacing w:after="0" w:line="240" w:lineRule="auto"/>
        <w:jc w:val="both"/>
        <w:rPr>
          <w:rFonts w:ascii="Times New Roman" w:eastAsia="Times New Roman" w:hAnsi="Times New Roman" w:cs="Times New Roman"/>
        </w:rPr>
      </w:pPr>
    </w:p>
    <w:p w:rsidR="00900D75" w:rsidRDefault="00900D75" w:rsidP="00316155">
      <w:pPr>
        <w:pStyle w:val="Normal1"/>
        <w:spacing w:after="0" w:line="240" w:lineRule="auto"/>
        <w:jc w:val="both"/>
        <w:rPr>
          <w:rFonts w:ascii="Times New Roman" w:eastAsia="Times New Roman" w:hAnsi="Times New Roman" w:cs="Times New Roman"/>
        </w:rPr>
      </w:pPr>
    </w:p>
    <w:p w:rsidR="00900D75" w:rsidRDefault="00900D75" w:rsidP="00316155">
      <w:pPr>
        <w:pStyle w:val="Normal1"/>
        <w:spacing w:after="0" w:line="240" w:lineRule="auto"/>
        <w:jc w:val="both"/>
        <w:rPr>
          <w:rFonts w:ascii="Times New Roman" w:eastAsia="Times New Roman" w:hAnsi="Times New Roman" w:cs="Times New Roman"/>
        </w:rPr>
      </w:pPr>
    </w:p>
    <w:p w:rsidR="00900D75" w:rsidRDefault="00900D75"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broj 23. Ukupno sakupljene količine otpada na šest reciklažnih dvorišta za 2022. godinu </w:t>
      </w:r>
    </w:p>
    <w:p w:rsidR="00E944C2" w:rsidRDefault="00E944C2" w:rsidP="00316155">
      <w:pPr>
        <w:pStyle w:val="Normal1"/>
        <w:spacing w:after="0" w:line="240" w:lineRule="auto"/>
        <w:jc w:val="both"/>
        <w:rPr>
          <w:rFonts w:ascii="Times New Roman" w:eastAsia="Times New Roman" w:hAnsi="Times New Roman" w:cs="Times New Roman"/>
          <w:b/>
        </w:rPr>
      </w:pPr>
    </w:p>
    <w:tbl>
      <w:tblPr>
        <w:tblStyle w:val="55"/>
        <w:tblpPr w:leftFromText="180" w:rightFromText="180" w:vertAnchor="text" w:tblpX="115"/>
        <w:tblW w:w="9234"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826"/>
        <w:gridCol w:w="1122"/>
        <w:gridCol w:w="1216"/>
        <w:gridCol w:w="1122"/>
        <w:gridCol w:w="1216"/>
        <w:gridCol w:w="1403"/>
        <w:gridCol w:w="1216"/>
        <w:gridCol w:w="1113"/>
      </w:tblGrid>
      <w:tr w:rsidR="00E944C2">
        <w:trPr>
          <w:cantSplit/>
          <w:trHeight w:val="1123"/>
          <w:tblHeader/>
        </w:trPr>
        <w:tc>
          <w:tcPr>
            <w:tcW w:w="82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Vrsta otpada</w:t>
            </w:r>
          </w:p>
        </w:tc>
        <w:tc>
          <w:tcPr>
            <w:tcW w:w="1122"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Iva Vizina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(Zabjelo)</w:t>
            </w:r>
          </w:p>
        </w:tc>
        <w:tc>
          <w:tcPr>
            <w:tcW w:w="121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na Bulevaru Mihaila Lalića (Tološi)</w:t>
            </w:r>
          </w:p>
        </w:tc>
        <w:tc>
          <w:tcPr>
            <w:tcW w:w="1122"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Husinskih rudara (Konik)</w:t>
            </w:r>
          </w:p>
        </w:tc>
        <w:tc>
          <w:tcPr>
            <w:tcW w:w="121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Orjenskoj</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(Zlatica)</w:t>
            </w:r>
          </w:p>
        </w:tc>
        <w:tc>
          <w:tcPr>
            <w:tcW w:w="1403"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Kritskog odreda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(Donja Gorica)</w:t>
            </w:r>
          </w:p>
        </w:tc>
        <w:tc>
          <w:tcPr>
            <w:tcW w:w="1216" w:type="dxa"/>
            <w:shd w:val="clear" w:color="auto" w:fill="9CC3E5"/>
          </w:tcPr>
          <w:p w:rsidR="00E944C2" w:rsidRDefault="00E944C2" w:rsidP="00316155">
            <w:pPr>
              <w:pStyle w:val="Normal1"/>
              <w:spacing w:after="0" w:line="240" w:lineRule="auto"/>
              <w:jc w:val="both"/>
              <w:rPr>
                <w:rFonts w:ascii="Times New Roman" w:eastAsia="Times New Roman" w:hAnsi="Times New Roman" w:cs="Times New Roman"/>
                <w:b/>
                <w:sz w:val="18"/>
                <w:szCs w:val="18"/>
              </w:rPr>
            </w:pP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Goričani</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Opština Zeta</w:t>
            </w:r>
          </w:p>
        </w:tc>
        <w:tc>
          <w:tcPr>
            <w:tcW w:w="1113"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Ukupno (kg)</w:t>
            </w:r>
          </w:p>
        </w:tc>
      </w:tr>
      <w:tr w:rsidR="00E944C2">
        <w:trPr>
          <w:cantSplit/>
          <w:trHeight w:val="447"/>
          <w:tblHeader/>
        </w:trPr>
        <w:tc>
          <w:tcPr>
            <w:tcW w:w="826"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Opasni otpad</w:t>
            </w:r>
          </w:p>
        </w:tc>
        <w:tc>
          <w:tcPr>
            <w:tcW w:w="112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1.185</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4.650</w:t>
            </w:r>
          </w:p>
        </w:tc>
        <w:tc>
          <w:tcPr>
            <w:tcW w:w="112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1.210</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935</w:t>
            </w:r>
          </w:p>
        </w:tc>
        <w:tc>
          <w:tcPr>
            <w:tcW w:w="140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1.102</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459</w:t>
            </w:r>
          </w:p>
        </w:tc>
        <w:tc>
          <w:tcPr>
            <w:tcW w:w="111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9.541</w:t>
            </w:r>
          </w:p>
        </w:tc>
      </w:tr>
      <w:tr w:rsidR="00E944C2">
        <w:trPr>
          <w:cantSplit/>
          <w:trHeight w:val="397"/>
          <w:tblHeader/>
        </w:trPr>
        <w:tc>
          <w:tcPr>
            <w:tcW w:w="826" w:type="dxa"/>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Neopasni otpad</w:t>
            </w:r>
          </w:p>
        </w:tc>
        <w:tc>
          <w:tcPr>
            <w:tcW w:w="1122"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195.475</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19.814</w:t>
            </w:r>
          </w:p>
        </w:tc>
        <w:tc>
          <w:tcPr>
            <w:tcW w:w="1122"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3.008</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5.025</w:t>
            </w:r>
          </w:p>
        </w:tc>
        <w:tc>
          <w:tcPr>
            <w:tcW w:w="1403"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3.140</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2.009</w:t>
            </w:r>
          </w:p>
        </w:tc>
        <w:tc>
          <w:tcPr>
            <w:tcW w:w="1113"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228.471</w:t>
            </w:r>
          </w:p>
        </w:tc>
      </w:tr>
      <w:tr w:rsidR="00E944C2">
        <w:trPr>
          <w:cantSplit/>
          <w:trHeight w:val="334"/>
          <w:tblHeader/>
        </w:trPr>
        <w:tc>
          <w:tcPr>
            <w:tcW w:w="826"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 (kg)</w:t>
            </w:r>
          </w:p>
        </w:tc>
        <w:tc>
          <w:tcPr>
            <w:tcW w:w="112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196.660</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24.464</w:t>
            </w:r>
          </w:p>
        </w:tc>
        <w:tc>
          <w:tcPr>
            <w:tcW w:w="112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4.218</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5.960</w:t>
            </w:r>
          </w:p>
        </w:tc>
        <w:tc>
          <w:tcPr>
            <w:tcW w:w="140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4.242</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2.468</w:t>
            </w:r>
          </w:p>
        </w:tc>
        <w:tc>
          <w:tcPr>
            <w:tcW w:w="1113"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238.012</w:t>
            </w:r>
          </w:p>
        </w:tc>
      </w:tr>
    </w:tbl>
    <w:p w:rsidR="00E944C2" w:rsidRDefault="00E944C2" w:rsidP="00316155">
      <w:pPr>
        <w:pStyle w:val="Normal1"/>
        <w:jc w:val="both"/>
      </w:pPr>
    </w:p>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Tabela broj 24.  Ukupno sakupljene količine otpada na šest reciklažnih dvorišta za 2021. godinu </w:t>
      </w:r>
      <w:r>
        <w:rPr>
          <w:rFonts w:ascii="Times New Roman" w:eastAsia="Times New Roman" w:hAnsi="Times New Roman" w:cs="Times New Roman"/>
          <w:sz w:val="24"/>
          <w:szCs w:val="24"/>
        </w:rPr>
        <w:br/>
      </w:r>
    </w:p>
    <w:tbl>
      <w:tblPr>
        <w:tblStyle w:val="54"/>
        <w:tblpPr w:leftFromText="180" w:rightFromText="180" w:vertAnchor="text" w:tblpX="115"/>
        <w:tblW w:w="9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50"/>
        <w:gridCol w:w="1066"/>
        <w:gridCol w:w="1156"/>
        <w:gridCol w:w="1424"/>
        <w:gridCol w:w="1246"/>
        <w:gridCol w:w="1157"/>
        <w:gridCol w:w="1157"/>
        <w:gridCol w:w="979"/>
      </w:tblGrid>
      <w:tr w:rsidR="00E944C2">
        <w:trPr>
          <w:cantSplit/>
          <w:trHeight w:val="1123"/>
          <w:tblHeader/>
        </w:trPr>
        <w:tc>
          <w:tcPr>
            <w:tcW w:w="1050"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Vrsta otpada</w:t>
            </w:r>
          </w:p>
        </w:tc>
        <w:tc>
          <w:tcPr>
            <w:tcW w:w="106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Iva Vizina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(Zabjelo)</w:t>
            </w:r>
          </w:p>
        </w:tc>
        <w:tc>
          <w:tcPr>
            <w:tcW w:w="115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na Bulevaru Mihaila Lalića (Tološi)</w:t>
            </w:r>
          </w:p>
        </w:tc>
        <w:tc>
          <w:tcPr>
            <w:tcW w:w="1424"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Husinskih rudara (Konik)</w:t>
            </w:r>
          </w:p>
        </w:tc>
        <w:tc>
          <w:tcPr>
            <w:tcW w:w="124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Orjenskoj</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(Zlatica)</w:t>
            </w:r>
          </w:p>
        </w:tc>
        <w:tc>
          <w:tcPr>
            <w:tcW w:w="1157"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 u Ul. Kritskog odreda</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(Donja Gorica)</w:t>
            </w:r>
          </w:p>
        </w:tc>
        <w:tc>
          <w:tcPr>
            <w:tcW w:w="1157" w:type="dxa"/>
            <w:shd w:val="clear" w:color="auto" w:fill="9CC3E5"/>
          </w:tcPr>
          <w:p w:rsidR="00E944C2" w:rsidRDefault="00E944C2" w:rsidP="00316155">
            <w:pPr>
              <w:pStyle w:val="Normal1"/>
              <w:spacing w:after="0" w:line="240" w:lineRule="auto"/>
              <w:jc w:val="both"/>
              <w:rPr>
                <w:rFonts w:ascii="Times New Roman" w:eastAsia="Times New Roman" w:hAnsi="Times New Roman" w:cs="Times New Roman"/>
                <w:b/>
                <w:sz w:val="18"/>
                <w:szCs w:val="18"/>
              </w:rPr>
            </w:pP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Reciklažno dvorište</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Goričani</w:t>
            </w:r>
          </w:p>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(Golubovci)</w:t>
            </w:r>
          </w:p>
        </w:tc>
        <w:tc>
          <w:tcPr>
            <w:tcW w:w="979"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18"/>
                <w:szCs w:val="18"/>
              </w:rPr>
            </w:pPr>
            <w:r>
              <w:rPr>
                <w:rFonts w:ascii="Times New Roman" w:eastAsia="Times New Roman" w:hAnsi="Times New Roman" w:cs="Times New Roman"/>
                <w:b/>
                <w:sz w:val="18"/>
                <w:szCs w:val="18"/>
              </w:rPr>
              <w:t>Ukupno (kg)</w:t>
            </w:r>
          </w:p>
        </w:tc>
      </w:tr>
      <w:tr w:rsidR="00E944C2">
        <w:trPr>
          <w:cantSplit/>
          <w:trHeight w:val="447"/>
          <w:tblHeader/>
        </w:trPr>
        <w:tc>
          <w:tcPr>
            <w:tcW w:w="1050"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Opasni otpad</w:t>
            </w:r>
          </w:p>
        </w:tc>
        <w:tc>
          <w:tcPr>
            <w:tcW w:w="106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3.160</w:t>
            </w:r>
          </w:p>
        </w:tc>
        <w:tc>
          <w:tcPr>
            <w:tcW w:w="115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5.403</w:t>
            </w:r>
          </w:p>
        </w:tc>
        <w:tc>
          <w:tcPr>
            <w:tcW w:w="142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955</w:t>
            </w:r>
          </w:p>
        </w:tc>
        <w:tc>
          <w:tcPr>
            <w:tcW w:w="124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782</w:t>
            </w:r>
          </w:p>
        </w:tc>
        <w:tc>
          <w:tcPr>
            <w:tcW w:w="115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2.241</w:t>
            </w:r>
          </w:p>
        </w:tc>
        <w:tc>
          <w:tcPr>
            <w:tcW w:w="115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577</w:t>
            </w:r>
          </w:p>
        </w:tc>
        <w:tc>
          <w:tcPr>
            <w:tcW w:w="979"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13.118</w:t>
            </w:r>
          </w:p>
        </w:tc>
      </w:tr>
      <w:tr w:rsidR="00E944C2">
        <w:trPr>
          <w:cantSplit/>
          <w:trHeight w:val="397"/>
          <w:tblHeader/>
        </w:trPr>
        <w:tc>
          <w:tcPr>
            <w:tcW w:w="1050" w:type="dxa"/>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Neopasni otpad</w:t>
            </w:r>
          </w:p>
        </w:tc>
        <w:tc>
          <w:tcPr>
            <w:tcW w:w="106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129.687</w:t>
            </w:r>
          </w:p>
        </w:tc>
        <w:tc>
          <w:tcPr>
            <w:tcW w:w="115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16.251</w:t>
            </w:r>
          </w:p>
        </w:tc>
        <w:tc>
          <w:tcPr>
            <w:tcW w:w="1424"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4.637</w:t>
            </w:r>
          </w:p>
        </w:tc>
        <w:tc>
          <w:tcPr>
            <w:tcW w:w="1246"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8.695</w:t>
            </w:r>
          </w:p>
        </w:tc>
        <w:tc>
          <w:tcPr>
            <w:tcW w:w="1157"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5.014</w:t>
            </w:r>
          </w:p>
        </w:tc>
        <w:tc>
          <w:tcPr>
            <w:tcW w:w="1157"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3.054</w:t>
            </w:r>
          </w:p>
        </w:tc>
        <w:tc>
          <w:tcPr>
            <w:tcW w:w="979" w:type="dxa"/>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167.338</w:t>
            </w:r>
          </w:p>
        </w:tc>
      </w:tr>
      <w:tr w:rsidR="00E944C2">
        <w:trPr>
          <w:cantSplit/>
          <w:trHeight w:val="334"/>
          <w:tblHeader/>
        </w:trPr>
        <w:tc>
          <w:tcPr>
            <w:tcW w:w="1050"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Ukupno (kg)</w:t>
            </w:r>
          </w:p>
        </w:tc>
        <w:tc>
          <w:tcPr>
            <w:tcW w:w="106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132.847</w:t>
            </w:r>
          </w:p>
        </w:tc>
        <w:tc>
          <w:tcPr>
            <w:tcW w:w="115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21.654</w:t>
            </w:r>
          </w:p>
        </w:tc>
        <w:tc>
          <w:tcPr>
            <w:tcW w:w="142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5.592</w:t>
            </w:r>
          </w:p>
        </w:tc>
        <w:tc>
          <w:tcPr>
            <w:tcW w:w="124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9.477</w:t>
            </w:r>
          </w:p>
        </w:tc>
        <w:tc>
          <w:tcPr>
            <w:tcW w:w="115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7.255</w:t>
            </w:r>
          </w:p>
        </w:tc>
        <w:tc>
          <w:tcPr>
            <w:tcW w:w="115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3.631</w:t>
            </w:r>
          </w:p>
        </w:tc>
        <w:tc>
          <w:tcPr>
            <w:tcW w:w="979"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18"/>
                <w:szCs w:val="18"/>
              </w:rPr>
            </w:pPr>
            <w:r>
              <w:rPr>
                <w:rFonts w:ascii="Times New Roman" w:eastAsia="Times New Roman" w:hAnsi="Times New Roman" w:cs="Times New Roman"/>
                <w:sz w:val="18"/>
                <w:szCs w:val="18"/>
              </w:rPr>
              <w:t>180.456</w:t>
            </w:r>
          </w:p>
        </w:tc>
      </w:tr>
    </w:tbl>
    <w:p w:rsidR="00E944C2" w:rsidRDefault="00E944C2" w:rsidP="00316155">
      <w:pPr>
        <w:pStyle w:val="Normal1"/>
        <w:spacing w:after="0" w:line="240" w:lineRule="auto"/>
        <w:jc w:val="both"/>
        <w:rPr>
          <w:rFonts w:ascii="Times New Roman" w:eastAsia="Times New Roman" w:hAnsi="Times New Roman" w:cs="Times New Roman"/>
          <w:sz w:val="18"/>
          <w:szCs w:val="18"/>
        </w:rPr>
      </w:pPr>
    </w:p>
    <w:p w:rsidR="00E944C2" w:rsidRDefault="00E944C2" w:rsidP="00316155">
      <w:pPr>
        <w:pStyle w:val="Normal1"/>
        <w:spacing w:after="0" w:line="240" w:lineRule="auto"/>
        <w:jc w:val="both"/>
        <w:rPr>
          <w:rFonts w:ascii="Times New Roman" w:eastAsia="Times New Roman" w:hAnsi="Times New Roman" w:cs="Times New Roman"/>
          <w:sz w:val="20"/>
          <w:szCs w:val="20"/>
        </w:rPr>
      </w:pPr>
    </w:p>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Tabela broj 25.  Ukupno sakupljene količine otpada na šest reciklažnih dvorišta za 2020. godinu</w:t>
      </w:r>
      <w:r>
        <w:rPr>
          <w:rFonts w:ascii="Times New Roman" w:eastAsia="Times New Roman" w:hAnsi="Times New Roman" w:cs="Times New Roman"/>
          <w:b/>
          <w:sz w:val="24"/>
          <w:szCs w:val="24"/>
        </w:rPr>
        <w:br/>
      </w:r>
    </w:p>
    <w:tbl>
      <w:tblPr>
        <w:tblStyle w:val="53"/>
        <w:tblpPr w:leftFromText="180" w:rightFromText="180" w:vertAnchor="text" w:tblpX="115"/>
        <w:tblW w:w="9235"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88"/>
        <w:gridCol w:w="1087"/>
        <w:gridCol w:w="1216"/>
        <w:gridCol w:w="1216"/>
        <w:gridCol w:w="1216"/>
        <w:gridCol w:w="1216"/>
        <w:gridCol w:w="1264"/>
        <w:gridCol w:w="1032"/>
      </w:tblGrid>
      <w:tr w:rsidR="00E944C2" w:rsidTr="00900D75">
        <w:trPr>
          <w:cantSplit/>
          <w:trHeight w:val="1123"/>
          <w:tblHeader/>
        </w:trPr>
        <w:tc>
          <w:tcPr>
            <w:tcW w:w="988"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Vrsta otpada</w:t>
            </w:r>
          </w:p>
        </w:tc>
        <w:tc>
          <w:tcPr>
            <w:tcW w:w="1087"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u Ul. Iva Vizina</w:t>
            </w:r>
          </w:p>
        </w:tc>
        <w:tc>
          <w:tcPr>
            <w:tcW w:w="121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na Bulevaru Mihaila Lalića</w:t>
            </w:r>
          </w:p>
        </w:tc>
        <w:tc>
          <w:tcPr>
            <w:tcW w:w="121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u Ul. Husinskih rudara</w:t>
            </w:r>
          </w:p>
        </w:tc>
        <w:tc>
          <w:tcPr>
            <w:tcW w:w="121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u Ul. Orjenskoj</w:t>
            </w:r>
          </w:p>
        </w:tc>
        <w:tc>
          <w:tcPr>
            <w:tcW w:w="121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u Ul. Kritskog odreda</w:t>
            </w:r>
          </w:p>
        </w:tc>
        <w:tc>
          <w:tcPr>
            <w:tcW w:w="1264"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Reciklažno dvorište Golubovci</w:t>
            </w:r>
          </w:p>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w:t>
            </w:r>
          </w:p>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Goričani</w:t>
            </w:r>
          </w:p>
        </w:tc>
        <w:tc>
          <w:tcPr>
            <w:tcW w:w="1032"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b/>
                <w:sz w:val="20"/>
                <w:szCs w:val="20"/>
              </w:rPr>
            </w:pPr>
            <w:r>
              <w:rPr>
                <w:rFonts w:ascii="Times New Roman" w:eastAsia="Times New Roman" w:hAnsi="Times New Roman" w:cs="Times New Roman"/>
                <w:b/>
                <w:sz w:val="20"/>
                <w:szCs w:val="20"/>
              </w:rPr>
              <w:t>Ukupno (kg)</w:t>
            </w:r>
          </w:p>
        </w:tc>
      </w:tr>
      <w:tr w:rsidR="00E944C2" w:rsidTr="00900D75">
        <w:trPr>
          <w:cantSplit/>
          <w:trHeight w:val="447"/>
          <w:tblHeader/>
        </w:trPr>
        <w:tc>
          <w:tcPr>
            <w:tcW w:w="988"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Opasni otpad</w:t>
            </w:r>
          </w:p>
        </w:tc>
        <w:tc>
          <w:tcPr>
            <w:tcW w:w="108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3.516</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4.518</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707</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1.216</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1.542</w:t>
            </w:r>
          </w:p>
        </w:tc>
        <w:tc>
          <w:tcPr>
            <w:tcW w:w="126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340</w:t>
            </w:r>
          </w:p>
        </w:tc>
        <w:tc>
          <w:tcPr>
            <w:tcW w:w="103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11.839</w:t>
            </w:r>
          </w:p>
        </w:tc>
      </w:tr>
      <w:tr w:rsidR="00E944C2" w:rsidTr="00900D75">
        <w:trPr>
          <w:cantSplit/>
          <w:trHeight w:val="397"/>
          <w:tblHeader/>
        </w:trPr>
        <w:tc>
          <w:tcPr>
            <w:tcW w:w="988" w:type="dxa"/>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Neopasni otpad</w:t>
            </w:r>
          </w:p>
        </w:tc>
        <w:tc>
          <w:tcPr>
            <w:tcW w:w="1087"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82.058</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13.766</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4.142</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5.370</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2.786</w:t>
            </w:r>
          </w:p>
        </w:tc>
        <w:tc>
          <w:tcPr>
            <w:tcW w:w="1264"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982</w:t>
            </w:r>
          </w:p>
        </w:tc>
        <w:tc>
          <w:tcPr>
            <w:tcW w:w="1032"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109.104</w:t>
            </w:r>
          </w:p>
        </w:tc>
      </w:tr>
      <w:tr w:rsidR="00E944C2" w:rsidTr="00900D75">
        <w:trPr>
          <w:cantSplit/>
          <w:trHeight w:val="334"/>
          <w:tblHeader/>
        </w:trPr>
        <w:tc>
          <w:tcPr>
            <w:tcW w:w="988"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Ukupno (kg)</w:t>
            </w:r>
          </w:p>
        </w:tc>
        <w:tc>
          <w:tcPr>
            <w:tcW w:w="108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85.574</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18.284</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4.849</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6.586</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4.328</w:t>
            </w:r>
          </w:p>
        </w:tc>
        <w:tc>
          <w:tcPr>
            <w:tcW w:w="126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1.322</w:t>
            </w:r>
          </w:p>
        </w:tc>
        <w:tc>
          <w:tcPr>
            <w:tcW w:w="103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120.943</w:t>
            </w:r>
          </w:p>
        </w:tc>
      </w:tr>
    </w:tbl>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Tabela broj 26. Ukupno sakupljene količine otpada na šest reciklažnih dvorišta za 2019. godinu date su u tabelarnom pregledu</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bl>
      <w:tblPr>
        <w:tblStyle w:val="52"/>
        <w:tblpPr w:leftFromText="180" w:rightFromText="180" w:vertAnchor="text" w:tblpXSpec="center"/>
        <w:tblW w:w="9350"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973"/>
        <w:gridCol w:w="1217"/>
        <w:gridCol w:w="1216"/>
        <w:gridCol w:w="1216"/>
        <w:gridCol w:w="1216"/>
        <w:gridCol w:w="1216"/>
        <w:gridCol w:w="1264"/>
        <w:gridCol w:w="1032"/>
      </w:tblGrid>
      <w:tr w:rsidR="00E944C2">
        <w:trPr>
          <w:cantSplit/>
          <w:trHeight w:val="1082"/>
          <w:tblHeader/>
          <w:jc w:val="center"/>
        </w:trPr>
        <w:tc>
          <w:tcPr>
            <w:tcW w:w="973"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Vrsta otpada</w:t>
            </w:r>
          </w:p>
        </w:tc>
        <w:tc>
          <w:tcPr>
            <w:tcW w:w="1217"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u Ul. Iva Vizina</w:t>
            </w:r>
          </w:p>
        </w:tc>
        <w:tc>
          <w:tcPr>
            <w:tcW w:w="121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na Bulevaru Mihaila Lalića</w:t>
            </w:r>
          </w:p>
        </w:tc>
        <w:tc>
          <w:tcPr>
            <w:tcW w:w="1216"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u Ul. Husinskih rudara</w:t>
            </w:r>
          </w:p>
        </w:tc>
        <w:tc>
          <w:tcPr>
            <w:tcW w:w="121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u Ul. Orjenskoj</w:t>
            </w:r>
          </w:p>
        </w:tc>
        <w:tc>
          <w:tcPr>
            <w:tcW w:w="1216"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u Ul. Kritskog odreda</w:t>
            </w:r>
          </w:p>
        </w:tc>
        <w:tc>
          <w:tcPr>
            <w:tcW w:w="1264" w:type="dxa"/>
            <w:shd w:val="clear" w:color="auto" w:fill="9CC3E5"/>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Reciklažno dvorište Golubovci</w:t>
            </w:r>
          </w:p>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w:t>
            </w:r>
          </w:p>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Goričani</w:t>
            </w:r>
          </w:p>
        </w:tc>
        <w:tc>
          <w:tcPr>
            <w:tcW w:w="1032" w:type="dxa"/>
            <w:shd w:val="clear" w:color="auto" w:fill="9CC3E5"/>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Ukupno (kg)</w:t>
            </w:r>
          </w:p>
        </w:tc>
      </w:tr>
      <w:tr w:rsidR="00E944C2">
        <w:trPr>
          <w:cantSplit/>
          <w:trHeight w:val="431"/>
          <w:tblHeader/>
          <w:jc w:val="center"/>
        </w:trPr>
        <w:tc>
          <w:tcPr>
            <w:tcW w:w="973"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Opasni otpad</w:t>
            </w:r>
          </w:p>
        </w:tc>
        <w:tc>
          <w:tcPr>
            <w:tcW w:w="121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 7.720</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3.031</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758</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1.995</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918</w:t>
            </w:r>
          </w:p>
        </w:tc>
        <w:tc>
          <w:tcPr>
            <w:tcW w:w="126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2.044</w:t>
            </w:r>
          </w:p>
        </w:tc>
        <w:tc>
          <w:tcPr>
            <w:tcW w:w="103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16.466</w:t>
            </w:r>
          </w:p>
        </w:tc>
      </w:tr>
      <w:tr w:rsidR="00E944C2">
        <w:trPr>
          <w:cantSplit/>
          <w:trHeight w:val="383"/>
          <w:tblHeader/>
          <w:jc w:val="center"/>
        </w:trPr>
        <w:tc>
          <w:tcPr>
            <w:tcW w:w="973" w:type="dxa"/>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Neopasni otpad</w:t>
            </w:r>
          </w:p>
        </w:tc>
        <w:tc>
          <w:tcPr>
            <w:tcW w:w="1217"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64.323</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5.938</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12.460</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3.507</w:t>
            </w:r>
          </w:p>
        </w:tc>
        <w:tc>
          <w:tcPr>
            <w:tcW w:w="1216"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4.050</w:t>
            </w:r>
          </w:p>
        </w:tc>
        <w:tc>
          <w:tcPr>
            <w:tcW w:w="1264"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5.143</w:t>
            </w:r>
          </w:p>
        </w:tc>
        <w:tc>
          <w:tcPr>
            <w:tcW w:w="1032" w:type="dxa"/>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95.421</w:t>
            </w:r>
          </w:p>
        </w:tc>
      </w:tr>
      <w:tr w:rsidR="00E944C2">
        <w:trPr>
          <w:cantSplit/>
          <w:trHeight w:val="322"/>
          <w:tblHeader/>
          <w:jc w:val="center"/>
        </w:trPr>
        <w:tc>
          <w:tcPr>
            <w:tcW w:w="973" w:type="dxa"/>
            <w:shd w:val="clear" w:color="auto" w:fill="F2F2F2"/>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Ukupno (kg)</w:t>
            </w:r>
          </w:p>
        </w:tc>
        <w:tc>
          <w:tcPr>
            <w:tcW w:w="1217"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72.043</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8.969</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13.218</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5.502</w:t>
            </w:r>
          </w:p>
        </w:tc>
        <w:tc>
          <w:tcPr>
            <w:tcW w:w="1216"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4.968</w:t>
            </w:r>
          </w:p>
        </w:tc>
        <w:tc>
          <w:tcPr>
            <w:tcW w:w="1264"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7.187</w:t>
            </w:r>
          </w:p>
        </w:tc>
        <w:tc>
          <w:tcPr>
            <w:tcW w:w="1032" w:type="dxa"/>
            <w:shd w:val="clear" w:color="auto" w:fill="F2F2F2"/>
            <w:vAlign w:val="center"/>
          </w:tcPr>
          <w:p w:rsidR="00E944C2" w:rsidRDefault="00F7666C" w:rsidP="00316155">
            <w:pPr>
              <w:pStyle w:val="Normal1"/>
              <w:spacing w:after="0" w:line="240" w:lineRule="auto"/>
              <w:jc w:val="both"/>
              <w:rPr>
                <w:rFonts w:ascii="Times New Roman" w:eastAsia="Times New Roman" w:hAnsi="Times New Roman" w:cs="Times New Roman"/>
                <w:sz w:val="20"/>
                <w:szCs w:val="20"/>
              </w:rPr>
            </w:pPr>
            <w:r>
              <w:rPr>
                <w:rFonts w:ascii="Times New Roman" w:eastAsia="Times New Roman" w:hAnsi="Times New Roman" w:cs="Times New Roman"/>
                <w:sz w:val="20"/>
                <w:szCs w:val="20"/>
              </w:rPr>
              <w:t>111.887</w:t>
            </w:r>
          </w:p>
        </w:tc>
      </w:tr>
    </w:tbl>
    <w:p w:rsidR="00E944C2" w:rsidRDefault="00E944C2" w:rsidP="00316155">
      <w:pPr>
        <w:pStyle w:val="Normal1"/>
        <w:spacing w:after="0" w:line="240" w:lineRule="auto"/>
        <w:jc w:val="both"/>
        <w:rPr>
          <w:rFonts w:ascii="Times New Roman" w:eastAsia="Times New Roman" w:hAnsi="Times New Roman" w:cs="Times New Roman"/>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Ključni nedostaci u oblasti odlaganja otpada manifestuju se kroz nekoliko značajnih izazova:</w:t>
      </w:r>
    </w:p>
    <w:p w:rsidR="00E944C2" w:rsidRDefault="00F7666C" w:rsidP="00E36C81">
      <w:pPr>
        <w:pStyle w:val="Normal1"/>
        <w:numPr>
          <w:ilvl w:val="0"/>
          <w:numId w:val="8"/>
        </w:numPr>
        <w:spacing w:after="0" w:line="360" w:lineRule="auto"/>
        <w:jc w:val="both"/>
        <w:rPr>
          <w:rFonts w:ascii="Noto Sans Symbols" w:eastAsia="Noto Sans Symbols" w:hAnsi="Noto Sans Symbols" w:cs="Noto Sans Symbols"/>
          <w:sz w:val="24"/>
          <w:szCs w:val="24"/>
        </w:rPr>
      </w:pPr>
      <w:r>
        <w:rPr>
          <w:rFonts w:ascii="Times New Roman" w:eastAsia="Times New Roman" w:hAnsi="Times New Roman" w:cs="Times New Roman"/>
          <w:sz w:val="24"/>
          <w:szCs w:val="24"/>
        </w:rPr>
        <w:t>Zakonske i administrativne poteškoće: Postoji kašnjenje u donošenju Državnog plana upravljanja otpadom za period 2024-2028. godine. Ministarstvo turizma, ekologije, održivog razvoja i razvoja sjevera usvojilo je Nacrt ovog plana u maju tekuće godine. Takođe, Zakon o upravljanju otpadom, koji je stupio na snagu u aprilu tekuće godine, predviđa rok od 12-24 mjeseca za donošenje podzakonskih akata, što zahtijeva usklađivanje opštinskih propisa sa novim zakonodavnim okvirom.</w:t>
      </w:r>
    </w:p>
    <w:p w:rsidR="00E944C2" w:rsidRDefault="00F7666C" w:rsidP="00E36C81">
      <w:pPr>
        <w:pStyle w:val="Normal1"/>
        <w:numPr>
          <w:ilvl w:val="0"/>
          <w:numId w:val="8"/>
        </w:numPr>
        <w:spacing w:after="0" w:line="360" w:lineRule="auto"/>
        <w:jc w:val="both"/>
        <w:rPr>
          <w:rFonts w:ascii="Noto Sans Symbols" w:eastAsia="Noto Sans Symbols" w:hAnsi="Noto Sans Symbols" w:cs="Noto Sans Symbols"/>
          <w:sz w:val="24"/>
          <w:szCs w:val="24"/>
        </w:rPr>
      </w:pPr>
      <w:r>
        <w:rPr>
          <w:rFonts w:ascii="Times New Roman" w:eastAsia="Times New Roman" w:hAnsi="Times New Roman" w:cs="Times New Roman"/>
          <w:sz w:val="24"/>
          <w:szCs w:val="24"/>
        </w:rPr>
        <w:t>Ograničena primjena modela javno-privatnog partnerstva: Nedovoljna upotreba ovog modela finansiranja investicija usporava razvoj infrastrukture za upravljanje otpadom, što dodatno otežava implementaciju održivih rješenja.</w:t>
      </w:r>
    </w:p>
    <w:p w:rsidR="00E944C2" w:rsidRDefault="00F7666C" w:rsidP="00E36C81">
      <w:pPr>
        <w:pStyle w:val="Normal1"/>
        <w:numPr>
          <w:ilvl w:val="0"/>
          <w:numId w:val="8"/>
        </w:numPr>
        <w:spacing w:after="0" w:line="360" w:lineRule="auto"/>
        <w:jc w:val="both"/>
        <w:rPr>
          <w:rFonts w:ascii="Noto Sans Symbols" w:eastAsia="Noto Sans Symbols" w:hAnsi="Noto Sans Symbols" w:cs="Noto Sans Symbols"/>
          <w:sz w:val="24"/>
          <w:szCs w:val="24"/>
        </w:rPr>
      </w:pPr>
      <w:r>
        <w:rPr>
          <w:rFonts w:ascii="Times New Roman" w:eastAsia="Times New Roman" w:hAnsi="Times New Roman" w:cs="Times New Roman"/>
          <w:sz w:val="24"/>
          <w:szCs w:val="24"/>
        </w:rPr>
        <w:t>Neadekvatni administrativni kapaciteti: Postoji nedostatak kapaciteta za adekvatnu apsorpciju dostupnih pretpristupnih fondova, što ograničava mogućnost finansiranja projekata u oblasti upravljanja otpadom.</w:t>
      </w:r>
    </w:p>
    <w:p w:rsidR="00E944C2" w:rsidRDefault="00F7666C" w:rsidP="00E36C81">
      <w:pPr>
        <w:pStyle w:val="Normal1"/>
        <w:numPr>
          <w:ilvl w:val="0"/>
          <w:numId w:val="8"/>
        </w:numPr>
        <w:spacing w:line="360" w:lineRule="auto"/>
        <w:jc w:val="both"/>
        <w:rPr>
          <w:rFonts w:ascii="Noto Sans Symbols" w:eastAsia="Noto Sans Symbols" w:hAnsi="Noto Sans Symbols" w:cs="Noto Sans Symbols"/>
          <w:sz w:val="24"/>
          <w:szCs w:val="24"/>
        </w:rPr>
      </w:pPr>
      <w:r>
        <w:rPr>
          <w:rFonts w:ascii="Times New Roman" w:eastAsia="Times New Roman" w:hAnsi="Times New Roman" w:cs="Times New Roman"/>
          <w:sz w:val="24"/>
          <w:szCs w:val="24"/>
        </w:rPr>
        <w:t>Nedovoljna osviještenost građana: Niska svijest o pravilnom odlaganju komunalnog otpada, posebno u vezi sa primarnom selekcijom, doprinosi niskom procentu sekundarne selekcije, što negativno utiče na efikasnost reciklaže i upravljanje otpadom.</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67" w:name="_Toc212039547"/>
      <w:r>
        <w:t>2.18.2. Kvalitet vazduha</w:t>
      </w:r>
      <w:bookmarkEnd w:id="67"/>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okviru državne mreže za kontinuirano praćenje kvaliteta vazduha, za koje je zadužena Agencija za zaštitu životne sredine, na teritoriji Podgorice, koja pripada Centralnoj zoni kvaliteta vazduha u skladu sa Uredbom o uspostavljanju mreže mjernih mjesta za praćenje kvaliteta vazduha, nalaze se tri stacionarne stanice, u naseljima Blok V (zaguđujuće materije koje se mjere - SO2, PM2.5, PM10), Zabjelo – kružni tok (NO, NO2, NOx, CO, C6H6, PM10) i Gornje Mrke (NO, NO2, NOx, O3, CH4 i THC). Prema Informaciji o stanju životne sredine za 2022. godinu, u Centralnoj zoni je prisutno visoko zagađenje vazduha u periodu oktobar – april, prvenstveno suspendovanim česticama (PM10 i PM2,5), najčešće kao rezultat sagorijevanja čvrstih goriva (drvo i ugalj) koja se koriste za grijanje prostorija. Kako se navodi u Informaciji, česta pojava temperaturnih inverzija sprječava disperziju emisija i dovodi do zadržavanja polutanata koji su proizvod sagorijevanja fosilnih goriva, emisija iz saobraćaja i sličnih izvora, neposredno iznad tla, što dovodi do pojave visokih koncentracija zagađujućih materija u prizemnom sloju atmosfere. Rezultati mjerenja benzo(a)pirena, koji je produkt sagorijevanja fosilnih goriva (grijanje, industrija i saobraćaj), ukazuju na prisutno zagađenje u urbanim sredinama, uključujući Podgoricu, pri čemu su visoke koncentracije uobičajene tokom perioda prekoračenja PM čestica odnosno najčešće tokom sezone grijanja.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Lokalni monitoring, koji Glavni grad organizuje u kontinuitetu od 2014. godine, realizuje se na lokacijama na kojima se prati uticaj odvijanja saobraćaja (naselje Stari Aerdrom i u blizini Tržnog centra Big Fashion) i uticaj sagorijevanja čvrstih goriva koja se koriste za grijanje u domaćinstvima (naselje Zagorič). Rezultati lokalnog monitoringa korespondiraju sa rezultatima u okviru državne mreže, tj. ukazuju da je  tokom grejne sezone, koncentrisan gotovo cjelokupan godišnji broj prekoračenja dnevnih srednjih vrijednosti suspendovanih čestica, te da visoke vrijednosti benzo(a)pirena produkta sagorijevanja fosilnih goriva (grijanje, industrija i saobraćaj) prati povećane koncentracije PM10, uobičajene tokom grejne sezone.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 aspekta kvaliteta segmenata životne sredine, rezultati monitoringa vazduha u Podgorici ukazuju da su gotova sva prekoračenja graničnih vrijednosti PM10 čestica koncentrisana u sezoni grijanja, usljed korišćenja fosilnih goriva u domaćinstvima. Poseban izazov, sa kojim se suočavaju gradovi širom svijeta, jeste i borba protiv klimatskih promjena. U tom smislu, kao naročito zahtjevno ističe se redukcija emisija CO</w:t>
      </w:r>
      <w:r>
        <w:rPr>
          <w:rFonts w:ascii="Times New Roman" w:eastAsia="Times New Roman" w:hAnsi="Times New Roman" w:cs="Times New Roman"/>
          <w:sz w:val="24"/>
          <w:szCs w:val="24"/>
          <w:vertAlign w:val="subscript"/>
        </w:rPr>
        <w:t>2</w:t>
      </w:r>
      <w:r>
        <w:rPr>
          <w:rFonts w:ascii="Times New Roman" w:eastAsia="Times New Roman" w:hAnsi="Times New Roman" w:cs="Times New Roman"/>
          <w:sz w:val="24"/>
          <w:szCs w:val="24"/>
        </w:rPr>
        <w:t xml:space="preserve"> iz sektora zgradarstva, kojem pripada 51% (sa 61% iz stambenih zgrada) ukupnih emisija na području grada, uz 48% iz sektora transporta i 1% iz sektora javne rasvjete. Kada je u pitanju očuvanje biodiverziteta odnosno zaštićena prirodna dobra, poseban aktuelni izazov je uspostavljanje funkcionalne upravljačke strukture za Park prirode Rijeka Zeta, koji predstavlja prvo zaštićeno područje u Crnoj Gori u nadležnosti lokalnih samouprava koje pripada teritorijama dvije opštine, u ovom slučaju opštini Danilovgrad i Glavnom gradu Podgorica. </w:t>
      </w:r>
    </w:p>
    <w:p w:rsidR="00E944C2" w:rsidRDefault="00E944C2" w:rsidP="00316155">
      <w:pPr>
        <w:pStyle w:val="Heading3"/>
        <w:jc w:val="both"/>
      </w:pPr>
    </w:p>
    <w:p w:rsidR="00E944C2" w:rsidRDefault="00F7666C" w:rsidP="00316155">
      <w:pPr>
        <w:pStyle w:val="Heading3"/>
        <w:jc w:val="both"/>
      </w:pPr>
      <w:bookmarkStart w:id="68" w:name="_Toc212039548"/>
      <w:r>
        <w:t>2.18.3. Kvalitet voda</w:t>
      </w:r>
      <w:bookmarkEnd w:id="68"/>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Prema podacima sadržanim u Informaciji o stanju životne sredine za 2022. godinu, koju izrađuje Agencija za zaštitu životne sredine, ispitivanje kvaliteta površinskih voda u Crnoj Gori u 2022. godini, realizovano je u: 4 serije mjerenja za osnovne fizičko-hemijske parametre, u periodu januar-decembar i obuhvaćena su sva godišnja doba. Vrijeme uzorkovanja i analiza u 2022. godini obuhvatao je period malih voda-kada je zagađenje voda najveće, kao i njihovo korišćenje, a takođe i period većih vodostaja. Ispitivanja su, kada je u pitanju teritorija Glavnog grada, obuhvatila rijeke Moraču i Zetu. Kao generalni zaključak, konstatovano je da uzorkovana mjesta spadaju u lokacije visokog i srednjeg prioriteta, to su donji i srednji djelovi rijeka i mjesta pod jakim antropogenim uticajem ili antropogenim pritiskom u smislu fizičkog uticaja.</w:t>
      </w:r>
    </w:p>
    <w:p w:rsidR="00E944C2" w:rsidRDefault="00F7666C" w:rsidP="00316155">
      <w:pPr>
        <w:pStyle w:val="Heading3"/>
        <w:jc w:val="both"/>
      </w:pPr>
      <w:bookmarkStart w:id="69" w:name="_Toc212039549"/>
      <w:r>
        <w:t>2.18.4. Kvalitet zemljišta</w:t>
      </w:r>
      <w:bookmarkEnd w:id="69"/>
    </w:p>
    <w:p w:rsidR="00E944C2" w:rsidRDefault="00E944C2" w:rsidP="00E36C81">
      <w:pPr>
        <w:pStyle w:val="Heading3"/>
        <w:shd w:val="clear" w:color="auto" w:fill="FFFFFF"/>
        <w:spacing w:line="360" w:lineRule="auto"/>
        <w:ind w:left="-88" w:firstLine="1800"/>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Prema Informaciji o stanju životne sredine za 2022. godinu, koju izrađuje Agencija za zaštitu životne sredine, monitoring stanja zemljišta obuhvata praćenje sadržaja hemijskih elemenata u zemljištu (kadmijum (Cd), olovo (Pb), živa (Hg), arsen (As), hrom (Cr), nikal (Ni), fluor (F), bakar (Cu), molibden (Mo), bor (B), cink (Zn) i kobalt (Co)). Monitoring potencijalnog zagađenja zemljišta obuhvatio je praćenje sadržaja toksičnih i kancerogenih organskih materija u zemljištu, odnosno dugotrajnih organskih zagađujućih supstanci (POPs). Ispitivanje kvaliteta zemljišta na teritoriji Glavnog grada realizovano je na lokaciji naselje Omerbožovići (poljoprivredno zemljište u blizini sanitarne deponije komunalnog otpada „Livade“). Dobijeni rezultati ukazuju na povećan sadržaj hroma, nikla, fluora i bora u odnosu na vrijednosti normirane relevantnom legislativom. Povećan sadržaj navedenih elemenata ima prirodno, geološko porijeklo. Sadržaj svih ostalih neorganskih i organskih parametara ne premašuje propisane koncentracije, dok je sadržaj svih analiziranih toksičnih i kancerogenih organskih materija ispod limita detekcije.</w:t>
      </w:r>
    </w:p>
    <w:p w:rsidR="00E944C2" w:rsidRDefault="00F7666C" w:rsidP="00316155">
      <w:pPr>
        <w:pStyle w:val="Heading3"/>
        <w:jc w:val="both"/>
      </w:pPr>
      <w:bookmarkStart w:id="70" w:name="_Toc212039550"/>
      <w:r>
        <w:t>2.18.5. Biodiverzitet</w:t>
      </w:r>
      <w:bookmarkEnd w:id="70"/>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Prema podacima sadržanim u Akcionom planu biodiverziteta Glavnog grada, rezultati do sada realizovanih bioloških istraživanja, koja su se uglavnom odnosila na biljke, ptice i ribe, ukazuju na izuzetan biodiverzitet Podgorice, usljed, između ostalog, predione raznovrsnosti i biomske kompleknosti područja. Kada su u pitanju pojedinačne grupe organizama na području Podgorice, najsistematičnije su istražene biljke, i to gradskog područja, kanjona rijeke Morače, dijela Pipera, Ćemovskog polja i područja Skadarskog jezera. Procjenjeni broj biljnih vrsta je oko 2 500, odnosno gotovo 70% ukupne flore Crne Gore, što ukazuje na izuzetno bogatstvo i raznovrsnost, sa značajnom zastupljenošću zaštićenih, rijetkih, endemičnih i endemo-reliktnih vrsta. Kao posebno vrijedna staništa biljnog svijeta prepoznate su park šuma Gorica i ostale gradske i prigradske gorice, riječni kanjoni, Ćemovsko polje i dr. Kada su u pitanju gljive, najveći broj podataka se odnosi na brdo Gorica, Doljane i Kuče. Zabilježena je ukupno 318 vrsta, od kojih je 20 zaštićeno nacionalnom, a 16 međunarodnom legislativom, ali se procjenjuje da je broj značajno veći imajući u vidu da nije istražena cjelokupna teritorija grada. Dalje, na području Glavnog grada do sada je zabilježeno 12 vrsta vodozemaca i 34 vrste gmizavaca, što potvrđuje izraženu diferenciranost predjela na teritoriji Podgorice i uticaj mediteranske i umjereno kontinentalne klime. Kada je u pitanju ornitofauna, posebno izražen diverzitet ptica karakteriše Ćemovsko polje i Skadarsko jezero. Do sada poznati, prilično oskudni, podaci o sisarima ukazuju da region podgoričke opštine, naseljavaju 43 vrste, od kojih se 27 nalazi na listi nacionalno ili međunarodno zaštićenih vrsta. U cjelini posmatrano, kao dvije najveće prijetnje ukupnom biodiverzitetu Glavnog grada, su neplanska gradnja i požari, koje dovode do gubitka staništa, te posljedično za njih striktno vezanih vrsta.U urbanizovanim sredinama ozbiljan problem predstavlja i neadekvatno odlaganje otpada, koje može doprinijeti i širenju invazivnih vrsta.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 prirode "Komovi" nalazi se na udaljenosti od oko 50 km od centra grada. Tokom zimskog perioda, pristup ovom području je potpuno onemogućen, dok su u periodima obilnih padavina veliki dijelovi teritorije nepristupačni. Najveći izazov jeste dvojna nadležnost nad šumama unutar parka. Naime, iako je Agencija za upravljenje zaštićenim područjima upravljač dijela teritorije Parka prirode "Komovi", koja teritorijalno pripada Glavnom gradu, nadležnost nad šumama i lovom ima Uprava za gazdovanje šumama i lovištima Crne Gore. Dodatni problem predstavlja nedostatak stalno naseljenih stanovnika na ovom području, s obzirom na to da je njihova prisutnost ograničena na selo Opasanica. Ova situacija značajno otežava realizaciju planiranih aktivnosti. Takođe, mali broj stoke koja tokom ljeta boravi na ovom prostoru doprinosi izmjeni biodiverziteta, gubitku pašnjaka i sličnim ekološkim promjenama. Nedostatak signala mobilne telefonije predstavlja ozbiljan problem kako za zaposlene u Službi zaštite, tako i za lokalno stanovništvo, turiste i planinare. Putna infrastruktura je nedovoljno razvijena i zahtijeva značajna unapređenja. Turistička infrastruktura je u ranoj fazi razvoja, te je u narednom periodu potrebno uložiti napore kako bi se ovaj, turistički potencijalno najatraktivniji dio Glavnog grada, značajno unaprijedio u tom segmentu, uz strogu zaštitu biodiverziteta.</w:t>
      </w:r>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 prirode "Rijeka Zeta" još uvijek nije u potpunosti funkcionalan kao zaštićeno područje na teritoriji opštine Danilovgrad i Glavnog grada. Zaposleni u Agenciji za upravljanje zaštićenim područjima Podgorice (AUZP) ulažu značajne napore kako bi odgovorili na negativne pojave na dijelu parka koji pripada teritoriji Glavnog grada (19,8% ukupne teritorije). Međutim, na ovom prostoru postoje brojni izazovi, uključujući bespravnu gradnju, formiranje nelegalnih odlagališta otpada, eksploataciju zemljišta, te lov na ptice uz korišćenje nedozvoljenih sredstava. Dodatni problem predstavlja nedostatak petogodišnjeg plana upravljanja, koji bi omogućio izradu godišnjih programa upravljanja, što značajno otežava operativne aktivnosti AUZP. Zaposleni u Službi zaštite AUZP svakodnevno intervenišu u slučajevima nelegalne gradnje, podnose prijave nadležnim inspekcijskim službama, ali se dešava da vlasnici kasnije dobiju dozvole, što obesmišljava prethodne napore. Potrebno je razviti potpuno novi pristup djelovanja, uključujući reviziju granica i stepena zaštite, kao i efikasniju informisanost javnosti, kako bi se osiguralo da ovaj dio teritorije Glavnog grada zadrži status zaštićenog područja.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spomenik prirode "Pećina Magara" planirano je sprovođenje Revizije studije zaštite, nakon čega će biti izrađen petogodišnji Plan upravljanja, koji će služiti kao osnova za izradu godišnjih programa rada. Pored toga, neophodno je sprovesti eksproprijaciju zemljišta i urediti stazu koja vodi od glavnog puta do ulaza u pećinu. Ukoliko Planom upravljanja bude odobrena turistička valorizacija ovog spomenika prirode, biće potrebno izgraditi parking prostor, a zatim pristupiti uređenju same pećine. Građani Podgorice, kao i Turistička organizacija Podgorice, iskazuju veliki interes za aktiviranje pećine i omogućavanje njenog obilaska, što ukazuje na značaj ovih aktivnosti za lokalnu zajednicu.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Park-šuma Gorica razvijala se neplanski tokom proteklih decenija. Od kada je prije dvije godine dobila status Spomenika prirode, procesi upravljanja su započeti, ali napreduju sporije nego što je potrebno. Podnožje brda je uglavnom izgrađeno, a planirana dalja izgradnja stambenih objekata prijeti da naruši ne samo pejzažni i estetski izgled brda, već i biodiverzitet ovog područja. Da bi park-šuma postala primjer uspješnog upravljanja zaštićenim područjem, gdje su ciljevi zaštite i očuvanja prirodne i kulturne baštine usklađeni sa održivim korišćenjem, potrebna su značajno veća finansijska ulaganja. Što se tiče infrastrukturnih nedostataka, neophodno je uspostaviti vodovodnu mrežu i postaviti nekoliko česmi unutar parka. Potrebno je povećati broj mobilijara i sportskih sadržaja, dok Mediteranski vrt, srce Gorice, zahtijeva značajno unapređenje. Prilazi Gorici su preopterećeni, a nedostatak parking mjesta stvara gužve koje mogu ometati prolazak vozila hitnih službi poput vatrogasnih vozila, Hitne pomoći i policije. Dvije glavne kapije parka treba modernizovati kako bi se omogućilo brže otvaranje u hitnim situacijama.</w:t>
      </w:r>
    </w:p>
    <w:p w:rsidR="00E944C2" w:rsidRDefault="00E944C2" w:rsidP="00E36C81">
      <w:pPr>
        <w:pStyle w:val="Heading3"/>
        <w:spacing w:line="360" w:lineRule="auto"/>
        <w:jc w:val="both"/>
        <w:rPr>
          <w:rFonts w:ascii="Calibri" w:eastAsia="Calibri" w:hAnsi="Calibri" w:cs="Calibri"/>
          <w:color w:val="000000"/>
          <w:sz w:val="22"/>
          <w:szCs w:val="22"/>
        </w:rPr>
      </w:pPr>
    </w:p>
    <w:p w:rsidR="00E944C2" w:rsidRDefault="00F7666C" w:rsidP="00316155">
      <w:pPr>
        <w:pStyle w:val="Heading3"/>
        <w:jc w:val="both"/>
      </w:pPr>
      <w:bookmarkStart w:id="71" w:name="_Toc212039551"/>
      <w:r>
        <w:t>2.18.6. Buka</w:t>
      </w:r>
      <w:bookmarkEnd w:id="71"/>
    </w:p>
    <w:p w:rsidR="00E944C2" w:rsidRDefault="00E944C2" w:rsidP="00316155">
      <w:pPr>
        <w:pStyle w:val="Normal1"/>
        <w:ind w:left="720"/>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Monitoring buke na teritoriji Podgorice u okviru državnog monitoringa vrši se na dvijema lokacijama – u naselju Stari aerodrom (akustička zona stambene namjene) i u blizini miniobilaznice (akustička zona pod jakim uticajem saobraćaja), dok se u okviru lokalnog monitoring realizuje na 11 rezidencijalnih lokacija, u naseljima Zabjelo, Pobrežje, Stari aerodrom, Stara Varoš. City kvart, Blok V, Blok IX i Zagorič, od kojih osam lokacija pripada stambenoj akustičkoj zoni, a tri akustičkoj zoni mješovite namjene.  Upoređivanjem vrijednosti nivoa buke tokom vikenda i radnih dana zaključeno je da se dnevne, večernje i noćne vrijednosti nivoa buke ne razlikuju značajno. Naime, na 9 lokalnih mjernih pozicija razlika u izmjerenim vrijednostima dnevnog, večernjeg i noćnog nivoa buke između vikend i radnih dana je manja od 2 dB. Maksimalno izmjerene vrijednosti nivoa buke tokom dana javljaju se najčešće oko 07:00 h, od 15:00 h do 16:00 h i oko 19:00 h, dok je kao najveći izvor buke prepoznat saobraćaj. </w:t>
      </w:r>
    </w:p>
    <w:p w:rsidR="00AD30E8" w:rsidRDefault="00AD30E8"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72" w:name="_Toc212039552"/>
      <w:r>
        <w:t>2.18.7. Zelene površine</w:t>
      </w:r>
      <w:bookmarkEnd w:id="72"/>
    </w:p>
    <w:p w:rsidR="00E944C2" w:rsidRDefault="00E944C2" w:rsidP="00316155">
      <w:pPr>
        <w:pStyle w:val="Normal1"/>
        <w:ind w:left="632"/>
        <w:jc w:val="both"/>
        <w:rPr>
          <w:color w:val="000000"/>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Stanje zelenih površina u Glavnom gradu Podgorica je ključan aspekt održivog urbanog razvoja, a one imaju značajnu ulogu u poboljšanju kvaliteta života građana, očuvanju biodiverziteta, kao i u borbi protiv klimatskih promjena. Zelene površine u gradu obuhvataju parkove, šume, gradske drvorede, zelene pojaseve uz rijeke, te sportske i rekreativne zone.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ima značajan broj zelenih površina u poređenju s mnogim drugim glavnim gradovima u regionu. Ipak, sa ubrzanom urbanizacijom posljednjih decenija, primjetan je pritisak na zelene površine, posebno u centralnim dijelovima grada. Glavni grad ima nekoliko većih parkova i zelenih zona, ali i dalje postoji potreba za širenjem i očuvanjem tih prostora kako bi se zadovoljile potrebe rastuće populacije.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Najznačajnije zelene površine u Podgorici uključuju:</w:t>
      </w:r>
    </w:p>
    <w:p w:rsidR="00E944C2" w:rsidRDefault="00F7666C" w:rsidP="00E36C81">
      <w:pPr>
        <w:pStyle w:val="Normal1"/>
        <w:numPr>
          <w:ilvl w:val="0"/>
          <w:numId w:val="9"/>
        </w:numPr>
        <w:spacing w:line="360" w:lineRule="auto"/>
        <w:jc w:val="both"/>
      </w:pPr>
      <w:r>
        <w:rPr>
          <w:rFonts w:ascii="Times New Roman" w:eastAsia="Times New Roman" w:hAnsi="Times New Roman" w:cs="Times New Roman"/>
          <w:sz w:val="24"/>
          <w:szCs w:val="24"/>
        </w:rPr>
        <w:t>Park šuma Gorica proteže se na oko 95,3 ha i predstavlja glavnu gradsku oazu, sa brojnim stazama za šetnju, trčanje i rekreaciju.</w:t>
      </w:r>
    </w:p>
    <w:p w:rsidR="00E944C2" w:rsidRDefault="00F7666C" w:rsidP="00E36C81">
      <w:pPr>
        <w:pStyle w:val="Normal1"/>
        <w:numPr>
          <w:ilvl w:val="0"/>
          <w:numId w:val="9"/>
        </w:numPr>
        <w:spacing w:line="360" w:lineRule="auto"/>
        <w:jc w:val="both"/>
      </w:pPr>
      <w:r>
        <w:rPr>
          <w:rFonts w:ascii="Times New Roman" w:eastAsia="Times New Roman" w:hAnsi="Times New Roman" w:cs="Times New Roman"/>
          <w:sz w:val="24"/>
          <w:szCs w:val="24"/>
        </w:rPr>
        <w:t>Park šuma Ljubović površine od 12,5 ha je najznačajnija zelena površina za stanovnike Zabjela i Stare Varoši. U toku je projekat novog šetališta kojim se povećava pristupačnosti i atraktivnosti ovog parka.</w:t>
      </w:r>
    </w:p>
    <w:p w:rsidR="00E944C2" w:rsidRDefault="00F7666C" w:rsidP="00E36C81">
      <w:pPr>
        <w:pStyle w:val="Normal1"/>
        <w:numPr>
          <w:ilvl w:val="0"/>
          <w:numId w:val="9"/>
        </w:numPr>
        <w:spacing w:line="360" w:lineRule="auto"/>
        <w:jc w:val="both"/>
      </w:pPr>
      <w:r>
        <w:rPr>
          <w:rFonts w:ascii="Times New Roman" w:eastAsia="Times New Roman" w:hAnsi="Times New Roman" w:cs="Times New Roman"/>
          <w:sz w:val="24"/>
          <w:szCs w:val="24"/>
        </w:rPr>
        <w:t>Park šume Tološi i Zlatica, dio vjetrozaštitnog prstena oko grada, su kroz skorije projekte dobila značajan broj novih funkcija kao sportsko-rekreartivna zona, park za pse i najveću  urbanu baštu u vlasništvu lokalne zajednice u Evropi.   .</w:t>
      </w:r>
    </w:p>
    <w:p w:rsidR="00E944C2" w:rsidRDefault="00F7666C" w:rsidP="00E36C81">
      <w:pPr>
        <w:pStyle w:val="Normal1"/>
        <w:numPr>
          <w:ilvl w:val="0"/>
          <w:numId w:val="9"/>
        </w:numPr>
        <w:spacing w:line="360" w:lineRule="auto"/>
        <w:jc w:val="both"/>
      </w:pPr>
      <w:r>
        <w:rPr>
          <w:rFonts w:ascii="Times New Roman" w:eastAsia="Times New Roman" w:hAnsi="Times New Roman" w:cs="Times New Roman"/>
          <w:sz w:val="24"/>
          <w:szCs w:val="24"/>
        </w:rPr>
        <w:t>Park Kruševac (pored Dvorca Petrovića) sa Dječijim parkom i parkom kod spomenika Francu Prešernu jedan je od najuređenijih parkova u gradu, sa umjetničkom galerijom i kulturnim sadržajima u blizini, okružen bogatom vegetacijom i brojnim stazama za šetnju.</w:t>
      </w:r>
    </w:p>
    <w:p w:rsidR="00E944C2" w:rsidRDefault="00F7666C" w:rsidP="00E36C81">
      <w:pPr>
        <w:pStyle w:val="Normal1"/>
        <w:numPr>
          <w:ilvl w:val="0"/>
          <w:numId w:val="9"/>
        </w:numPr>
        <w:spacing w:line="360" w:lineRule="auto"/>
        <w:jc w:val="both"/>
      </w:pPr>
      <w:r>
        <w:rPr>
          <w:rFonts w:ascii="Times New Roman" w:eastAsia="Times New Roman" w:hAnsi="Times New Roman" w:cs="Times New Roman"/>
          <w:sz w:val="24"/>
          <w:szCs w:val="24"/>
        </w:rPr>
        <w:t>Zelene površine uz rijeke Moraču i Ribnicu stvaraju potencijal za zelene pojaseve uz obale, koje bi mogle biti unaprijeđene radi većeg korišćenja u svrhu rekreacije i ekološke stabilnosti kroz nastavak izgradnje šetališta.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Iako postoje značajne zelene površine, njihov potencijal nije u potpunosti iskorišćen. Na nekim područjima Podgorice postoji problem neplanskog širenja stambenih i komercijalnih zona, što smanjuje prostor za zelene površine i otežava njihovo povezivanje u koherentne ekološke i rekreativne koridore.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Projektom MIKRO 020 Glavni grad zapuštene i neiskorišćene slobodne površine revitalizuje i stavlja u funkciju kao mjesta okupljanja. U saradnji sa partnerima i građanima, želja gradske uprave je da ti prostori postanu zeleni urbani džepovi grada, gdje će sugrađani rado provoditi svoje slobodno vrijeme.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Zelene površine u Podgorici su od ključnog značaja za očuvanje ekološkog balansa u gradu, ali je postojeće stanje suočeno sa izazovima urbanizacije i fragmentacije. Iako postoje planovi za proširenje i očuvanje ovih prostora, neophodna je dosljedna primjena urbanističkih planova i jače mjere zaštite kako bi se osigurao održiv i ekološki uravnotežen razvoj grada do 2030. godine.</w:t>
      </w:r>
    </w:p>
    <w:p w:rsidR="00E944C2" w:rsidRDefault="00F7666C" w:rsidP="00316155">
      <w:pPr>
        <w:pStyle w:val="Heading2"/>
        <w:jc w:val="both"/>
      </w:pPr>
      <w:bookmarkStart w:id="73" w:name="_Toc212039553"/>
      <w:r>
        <w:t>2.19. SWOT ANALIZA</w:t>
      </w:r>
      <w:bookmarkEnd w:id="73"/>
    </w:p>
    <w:p w:rsidR="00E944C2" w:rsidRDefault="00E944C2" w:rsidP="00E36C81">
      <w:pPr>
        <w:pStyle w:val="Normal1"/>
        <w:spacing w:line="360" w:lineRule="auto"/>
        <w:jc w:val="both"/>
        <w:rPr>
          <w:rFonts w:ascii="Times New Roman" w:eastAsia="Times New Roman" w:hAnsi="Times New Roman" w:cs="Times New Roman"/>
          <w:sz w:val="24"/>
          <w:szCs w:val="24"/>
        </w:rPr>
      </w:pPr>
    </w:p>
    <w:tbl>
      <w:tblPr>
        <w:tblStyle w:val="TableGrid"/>
        <w:tblW w:w="0" w:type="auto"/>
        <w:jc w:val="center"/>
        <w:tblLook w:val="04A0"/>
      </w:tblPr>
      <w:tblGrid>
        <w:gridCol w:w="2279"/>
        <w:gridCol w:w="2310"/>
        <w:gridCol w:w="2385"/>
        <w:gridCol w:w="2602"/>
      </w:tblGrid>
      <w:tr w:rsidR="00E944C2">
        <w:trPr>
          <w:jc w:val="center"/>
        </w:trPr>
        <w:tc>
          <w:tcPr>
            <w:tcW w:w="0" w:type="auto"/>
          </w:tcPr>
          <w:p w:rsidR="00E944C2" w:rsidRDefault="00F7666C" w:rsidP="0031615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PREDNOSTI </w:t>
            </w:r>
          </w:p>
        </w:tc>
        <w:tc>
          <w:tcPr>
            <w:tcW w:w="0" w:type="auto"/>
          </w:tcPr>
          <w:p w:rsidR="00E944C2" w:rsidRDefault="00F7666C" w:rsidP="0031615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SLABOSTI</w:t>
            </w:r>
          </w:p>
        </w:tc>
        <w:tc>
          <w:tcPr>
            <w:tcW w:w="0" w:type="auto"/>
          </w:tcPr>
          <w:p w:rsidR="00E944C2" w:rsidRDefault="00F7666C" w:rsidP="0031615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MOGUĆNOSTI </w:t>
            </w:r>
          </w:p>
        </w:tc>
        <w:tc>
          <w:tcPr>
            <w:tcW w:w="0" w:type="auto"/>
          </w:tcPr>
          <w:p w:rsidR="00E944C2" w:rsidRDefault="00F7666C" w:rsidP="00316155">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PRIJETNJE </w:t>
            </w:r>
          </w:p>
        </w:tc>
      </w:tr>
      <w:tr w:rsidR="00E944C2">
        <w:trPr>
          <w:jc w:val="center"/>
        </w:trPr>
        <w:tc>
          <w:tcPr>
            <w:tcW w:w="0" w:type="auto"/>
          </w:tcPr>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Velike migracije u glavnom gradu</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Razvijena infrastruktura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Efikasna državna i lokalna uprava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Razvijene usluge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Koncentracija obrazovnih i kulturno-informativnih centara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Veliki prirodni resursi</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Dobra saobraćajna povezanost</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Postojanje hotela visoke kategorije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Postojanje međunarodnog aerodroma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Visoka frekvencija drumskog saobraćaja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Primjena koncepta održivog urbanog razovja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Relativno dobro očuvana životna sredina i bogat biodivezivitet</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Kulturna i spomenička baština na nivou grada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Klimatsko-geografske karakteristike opštine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Postojanje svih nivoa obrazovanja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Stabilnost preduzeća čiji je osnivač Glavni grad</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Proaktivnost i transparetnost lokalne samouprave. Sluh za nove trendove i tehnologije.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Postojanje prostorno planske dokumentacije i razvojnih programskih dokumenata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Razvijen visokoškolski sistem</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Dostupnost slobodnih atraktivna lokacija i veličina zemlje za pilot projekte baziranih na novim tehnologijama</w:t>
            </w:r>
          </w:p>
        </w:tc>
        <w:tc>
          <w:tcPr>
            <w:tcW w:w="0" w:type="auto"/>
          </w:tcPr>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Znatna depopoulacija seoskog područja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Nepostojanje standarda za energetski efikasnu gradnju</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Nedovoljna turistička valorizacija grada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Spor uticaj lokalne samouprave u procesu sugerisanja izmjena i dopuna zakona i drugih propisa</w:t>
            </w:r>
          </w:p>
          <w:p w:rsidR="00E944C2" w:rsidRDefault="00E944C2" w:rsidP="00316155">
            <w:pPr>
              <w:spacing w:after="0" w:line="228" w:lineRule="auto"/>
              <w:jc w:val="both"/>
              <w:rPr>
                <w:rFonts w:ascii="Times New Roman" w:hAnsi="Times New Roman" w:cs="Times New Roman"/>
                <w:sz w:val="24"/>
                <w:szCs w:val="24"/>
              </w:rPr>
            </w:pP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Neadekvatno i neodrživo korišćenje prirodnih resursa</w:t>
            </w: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Nedovoljna istraženost,  iskorišćenost i ulaganje u korišćenje OIE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Nerazvijena proizvodnja finalnih proizvoda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Veliko opterećenje vodovodne, energetske i komunalne infrastrukture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Nedovoljna upotreba modela finansiranja investicija poput javno-privatno partnerstvo (JPP), BOT, EPC i drugih</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Neusklađenost ponude i tražnje na tržištu radne snage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Slab kvalitet zgrada mjesnih zajednica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Sredstva nacionalnog budžeta za instraživanje i inovacije su nedovoljna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Slabi administrativni kapaciteti za apsorpciju dostupnih pretpristupnih fondova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Nedovoljno učešće privatnog sektora u aktivnostima istraživanja i inovacija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Većina preduzeća je mikro i mala</w:t>
            </w:r>
          </w:p>
        </w:tc>
        <w:tc>
          <w:tcPr>
            <w:tcW w:w="0" w:type="auto"/>
          </w:tcPr>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Valorizacija ogromnog vodnog i šumskog bogatstva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Primjena koncepta pametnih gradova (Smart City)</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 xml:space="preserve">Usklađivanje sistema obrazovanja sa potrebama </w:t>
            </w:r>
            <w:r w:rsidRPr="006A5B09">
              <w:rPr>
                <w:rFonts w:ascii="Times New Roman" w:hAnsi="Times New Roman" w:cs="Times New Roman"/>
                <w:sz w:val="24"/>
                <w:szCs w:val="24"/>
              </w:rPr>
              <w:t>tržišta</w:t>
            </w:r>
            <w:r w:rsidR="006A5B09">
              <w:rPr>
                <w:rFonts w:ascii="Times New Roman" w:hAnsi="Times New Roman" w:cs="Times New Roman"/>
                <w:sz w:val="24"/>
                <w:szCs w:val="24"/>
              </w:rPr>
              <w:t xml:space="preserve"> </w:t>
            </w:r>
            <w:r w:rsidR="00E944C2" w:rsidRPr="006A5B09">
              <w:rPr>
                <w:rFonts w:ascii="Times New Roman" w:hAnsi="Times New Roman" w:cs="Times New Roman"/>
                <w:sz w:val="24"/>
                <w:szCs w:val="24"/>
              </w:rPr>
              <w:t>rada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 xml:space="preserve">Sredstva EU i drugih fondova, uključujući sredstva </w:t>
            </w:r>
            <w:r w:rsidR="00E944C2" w:rsidRPr="006A5B09">
              <w:rPr>
                <w:rFonts w:ascii="Times New Roman" w:hAnsi="Times New Roman" w:cs="Times New Roman"/>
                <w:sz w:val="24"/>
                <w:szCs w:val="24"/>
              </w:rPr>
              <w:t>Razvojne banke CG</w:t>
            </w:r>
          </w:p>
          <w:p w:rsidR="00E944C2" w:rsidRDefault="00E944C2"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r</w:t>
            </w:r>
            <w:r w:rsidR="00F7666C">
              <w:rPr>
                <w:rFonts w:ascii="Times New Roman" w:hAnsi="Times New Roman" w:cs="Times New Roman"/>
                <w:sz w:val="24"/>
                <w:szCs w:val="24"/>
              </w:rPr>
              <w:t>azvoj, inovacije i kontrolisana eksploatacija prirodnih resursa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Podsticaj investicija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Izgradnja novih hotelsko-turističkih kapaciteta visokog standarda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Izgradnja auto-puta Bar-Boljare, Jadransko-jonskog koridora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Veliki potencijal za investicije u obnovljive izvoreenergije (sunce, vjetar, hidropotencijal)</w:t>
            </w: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Izgradnja hidroelektrana, solarnih elektrana i vjetroelektrana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Izgradnja i modernizacija kapaciteta za kvalitetnije komunalne usluge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Kreiranje politike zaštite svih segmenata životne sredine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Selektivno prikupljanje i povećanje reciklaže otpada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Iskoristiti maksimalno turističke potekcijale ruralnih područja grada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Izgradnja kolektora, rasterećenje mreže i podsticaj za nova ulaganja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Efikasnije upravljanje imovinom grada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Ulaganje u kadrove - razvoj ljudskih resursa</w:t>
            </w:r>
          </w:p>
        </w:tc>
        <w:tc>
          <w:tcPr>
            <w:tcW w:w="0" w:type="auto"/>
          </w:tcPr>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Povećanje stope nezaposlenosti, naročito visokoškolskog kadra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Elementarne nepogode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Ekonomsko-finansijska kriza i pad investicionih aktivnosti</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Odliv stručnog kadra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Seizmički hazard</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Siva ekonomija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Neusmjeravanje sredstava u strateški važne, naučne i planirane investicije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Nedostatak povoljnih kreditnih aranžmana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 xml:space="preserve">Rast kamatnih stopa u regionu  </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Prekomjerna upotreba hemikalija u poljoprivredi</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Nekontrolisana upotreba energetski neefikasnih materijala za grijanje</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Gubitak visokokvalifikovanih istraživačkih i inovacionih ljudskih resursa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Nepovoljni demografski trendovi i migracija</w:t>
            </w:r>
          </w:p>
          <w:p w:rsidR="00E944C2" w:rsidRDefault="00E944C2" w:rsidP="00316155">
            <w:pPr>
              <w:spacing w:after="0" w:line="228" w:lineRule="auto"/>
              <w:jc w:val="both"/>
              <w:rPr>
                <w:rFonts w:ascii="Times New Roman" w:hAnsi="Times New Roman" w:cs="Times New Roman"/>
                <w:sz w:val="24"/>
                <w:szCs w:val="24"/>
              </w:rPr>
            </w:pPr>
          </w:p>
          <w:p w:rsidR="00E944C2" w:rsidRDefault="00F7666C" w:rsidP="00316155">
            <w:pPr>
              <w:spacing w:after="0" w:line="228" w:lineRule="auto"/>
              <w:jc w:val="both"/>
              <w:rPr>
                <w:rFonts w:ascii="Times New Roman" w:hAnsi="Times New Roman" w:cs="Times New Roman"/>
                <w:sz w:val="24"/>
                <w:szCs w:val="24"/>
              </w:rPr>
            </w:pPr>
            <w:r>
              <w:rPr>
                <w:rFonts w:ascii="Times New Roman" w:hAnsi="Times New Roman" w:cs="Times New Roman"/>
                <w:sz w:val="24"/>
                <w:szCs w:val="24"/>
              </w:rPr>
              <w:t>Konkurencija na regionalnom i globalnom nivou</w:t>
            </w:r>
          </w:p>
        </w:tc>
      </w:tr>
    </w:tbl>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1"/>
        <w:numPr>
          <w:ilvl w:val="0"/>
          <w:numId w:val="10"/>
        </w:numPr>
        <w:spacing w:line="360" w:lineRule="auto"/>
        <w:jc w:val="both"/>
        <w:rPr>
          <w:rFonts w:eastAsia="Times New Roman" w:cs="Times New Roman"/>
          <w:szCs w:val="28"/>
        </w:rPr>
      </w:pPr>
      <w:bookmarkStart w:id="74" w:name="_Toc212039554"/>
      <w:r>
        <w:rPr>
          <w:rFonts w:eastAsia="Times New Roman" w:cs="Times New Roman"/>
          <w:szCs w:val="28"/>
        </w:rPr>
        <w:t>STRATEŠKI CILJEVI I PRIORITETI</w:t>
      </w:r>
      <w:bookmarkEnd w:id="74"/>
    </w:p>
    <w:p w:rsidR="00E944C2" w:rsidRDefault="00E944C2" w:rsidP="00316155">
      <w:pPr>
        <w:pStyle w:val="Heading2"/>
        <w:jc w:val="both"/>
      </w:pPr>
    </w:p>
    <w:p w:rsidR="00E944C2" w:rsidRDefault="00F7666C" w:rsidP="00316155">
      <w:pPr>
        <w:pStyle w:val="Heading2"/>
        <w:jc w:val="both"/>
      </w:pPr>
      <w:bookmarkStart w:id="75" w:name="_Toc212039555"/>
      <w:r>
        <w:t>3.1. Ekonomski razvoj i privlačenje investicija: Unapređenje poslovnog okruženja za domaće i strane investiture</w:t>
      </w:r>
      <w:bookmarkEnd w:id="75"/>
    </w:p>
    <w:p w:rsidR="00E944C2" w:rsidRDefault="00E944C2" w:rsidP="00E36C81">
      <w:pPr>
        <w:pStyle w:val="Normal1"/>
        <w:spacing w:line="360" w:lineRule="auto"/>
        <w:jc w:val="both"/>
        <w:rPr>
          <w:rFonts w:ascii="Times New Roman" w:eastAsia="Times New Roman" w:hAnsi="Times New Roman" w:cs="Times New Roman"/>
          <w:b/>
          <w:sz w:val="24"/>
          <w:szCs w:val="24"/>
        </w:rPr>
      </w:pP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Cilj ekonomskog razvoja i privlačenja investicija u </w:t>
      </w:r>
      <w:r w:rsidR="00E944C2" w:rsidRPr="006A5B09">
        <w:rPr>
          <w:rFonts w:ascii="Times New Roman" w:eastAsia="Times New Roman" w:hAnsi="Times New Roman" w:cs="Times New Roman"/>
          <w:color w:val="000000"/>
          <w:sz w:val="24"/>
          <w:szCs w:val="24"/>
        </w:rPr>
        <w:t>G</w:t>
      </w:r>
      <w:r>
        <w:rPr>
          <w:rFonts w:ascii="Times New Roman" w:eastAsia="Times New Roman" w:hAnsi="Times New Roman" w:cs="Times New Roman"/>
          <w:color w:val="000000"/>
          <w:sz w:val="24"/>
          <w:szCs w:val="24"/>
        </w:rPr>
        <w:t xml:space="preserve">lavnom gradu Podgorici je stvaranje dinamičnog, otvorenog i konkurentnog poslovnog okruženja koje privlači domaće i strane investitore. Ovaj cilj se postiže kroz poboljšanje infrastrukture, optimizaciju administrativnih procedura, unapređenje zakonodavnog okvira, te stvaranje stimulativnih ekonomskih politika koje promovišu održiv i inkluzivan rast. Specifičan fokus je na razvoju ključnih </w:t>
      </w:r>
      <w:r w:rsidR="00E944C2" w:rsidRPr="006A5B09">
        <w:rPr>
          <w:rFonts w:ascii="Times New Roman" w:eastAsia="Times New Roman" w:hAnsi="Times New Roman" w:cs="Times New Roman"/>
          <w:color w:val="000000"/>
          <w:sz w:val="24"/>
          <w:szCs w:val="24"/>
        </w:rPr>
        <w:t>djelatnosti</w:t>
      </w:r>
      <w:r w:rsidR="006A5B09">
        <w:rPr>
          <w:rFonts w:ascii="Times New Roman" w:eastAsia="Times New Roman" w:hAnsi="Times New Roman" w:cs="Times New Roman"/>
          <w:color w:val="000000"/>
          <w:sz w:val="24"/>
          <w:szCs w:val="24"/>
        </w:rPr>
        <w:t xml:space="preserve"> </w:t>
      </w:r>
      <w:r>
        <w:rPr>
          <w:rFonts w:ascii="Times New Roman" w:eastAsia="Times New Roman" w:hAnsi="Times New Roman" w:cs="Times New Roman"/>
          <w:color w:val="000000"/>
          <w:sz w:val="24"/>
          <w:szCs w:val="24"/>
        </w:rPr>
        <w:t>koje su identifikovane kao vitalne za dugoročnu ekonomsku stabilnost i rast, uključujući informacione tehnologije, turizam, i obnovljive izvore energije.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Unapređenje poslovnog okruženja za investitore podrazumijeva kreiranje uslova u kojima preduzetnici mogu lako osnivati i razvijati poslovne </w:t>
      </w:r>
      <w:r w:rsidR="00E944C2" w:rsidRPr="006A5B09">
        <w:rPr>
          <w:rFonts w:ascii="Times New Roman" w:eastAsia="Times New Roman" w:hAnsi="Times New Roman" w:cs="Times New Roman"/>
          <w:sz w:val="24"/>
          <w:szCs w:val="24"/>
        </w:rPr>
        <w:t>aktivnosti</w:t>
      </w:r>
      <w:r>
        <w:rPr>
          <w:rFonts w:ascii="Times New Roman" w:eastAsia="Times New Roman" w:hAnsi="Times New Roman" w:cs="Times New Roman"/>
          <w:sz w:val="24"/>
          <w:szCs w:val="24"/>
        </w:rPr>
        <w:t xml:space="preserve">, uz minimalne administrativne barijere i maksimalnu podršku od strane lokalnih vlasti. To uključuje pojednostavljenje procesa dobijanja građevinskih dozvola, kao i razvoj finansijskih i drugih podsticaja i benefita za nove i postojeće investitore. Takođe, važan aspekt je i unapređenje transparentnosti javnih usluga, digitalizacija procesa i uvođenje one-stop-shop sistema koji omogućava efikasniju komunikaciju između preduzetnika i državnih organa. </w:t>
      </w:r>
    </w:p>
    <w:p w:rsidR="00E944C2" w:rsidRDefault="00F7666C" w:rsidP="00316155">
      <w:pPr>
        <w:pStyle w:val="Heading3"/>
        <w:jc w:val="both"/>
      </w:pPr>
      <w:bookmarkStart w:id="76" w:name="_Toc212039556"/>
      <w:r>
        <w:t>3.1.1.  Ekonomski podsticaji</w:t>
      </w:r>
      <w:bookmarkEnd w:id="76"/>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 bi se povećali inovativni i preduzetnički potencijali privrede u skladu sa Ciljem održivog razvoja 8.3 (Promovisati razvojno orijentisane politike koje podržavaju produktivne aktivnosti, otvaranje dostojanstvenih radnih mjesta, preduzetništvo, kreativnost i inovativnost, i podstiču formalizaciju i rast mikro, malih i srednjih preduzeća, između ostalog i kroz pristup finansijskim uslugama), potrebno je uvesti poreske olakšice i subvencije za start-upove i strane investicije, kao i razviti specijalne ekonomske zone sa olakšicama za poslovanje. Pristup finansijskim sredstvima i kreditima pod povoljnim uslovima za projekte koji doprinose ekonomskom razvoju takođe je ključan. S tim u vezi Glavni grad će nastaviti praksu finansijske podrške start up-ovima  koji imaju sjedište na teritoriji Podgorice. U 2024. godini je Budžetom Glavnog grada izdvojeno je kroz liniju Podrška tehnološkom razvoju i inovacijama izdvojeno 120.000 eura. U 2023. godini podržano je 4 start up sa ukupnim iznosom od 24.000 eura.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će raditi na jačanju lokalne preduzetničke infrastrukture i poslovnog ambijenta za razvoj preduzetništva i malih i srednjih preduzeća (MSP) u skladu sa Ciljem održivog razvoja 8.3, 8.4 (Postepeno, do 2030. godine, poboljšati globalnu efikasnost korišćenja resursa u potrošnji i proizvodnji i nastojati da se privredni rast razdvoji od degradacije životne sredine, u skladu sa desetogodišnjim Okvirnim programima o održivoj potrošnji i proizvodnji, pri čemu razvijene zemljame predvode ove napore).</w:t>
      </w:r>
    </w:p>
    <w:p w:rsidR="00E944C2" w:rsidRDefault="00F7666C" w:rsidP="00316155">
      <w:pPr>
        <w:pStyle w:val="Heading3"/>
        <w:jc w:val="both"/>
      </w:pPr>
      <w:bookmarkStart w:id="77" w:name="_Toc212039557"/>
      <w:r>
        <w:t>3.1.2. Promocija investicionih potencijala</w:t>
      </w:r>
      <w:bookmarkEnd w:id="77"/>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Menadžer Glavnog grada i Služba za međunarodnu saradnju Glavnog grada, u koordinaciji sa diplomatsko-konzularnim predstavništvima u Crnoj Gori, planiraju nastavak projekta “Podgorica Investment Days” u okvru kojeg su u prethodnom periodu organizovane prezentacije investicionih potencijala Podgorice, u saradnji sa ambasadama Austrije, Hrvatske, Njemačke, Slovenije, Turske, Rmunije, Francuske, Italije i Kine. Tokom ovih događaja, predstavljene su mogućnosti ulaganja u ključne sektore poput energije i industrije, tehnologije, turizma i ugostiteljstva, saobraćaja, zdravstva, nekretnina, sporta, kulture i zabave. Prezentacijama je prisustvovalo preko 200 predstavnika prestižnih kompanija, što naglašava značajan interes međunarodnih investitora za razvojne projekte u Podgorici. Ovakvi promotivni napori doprinose jačanju ekonomske baze grada i stvaranju novih prilika za poslovni rast i razvoj.</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900D75" w:rsidRDefault="00900D75"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2"/>
        <w:jc w:val="both"/>
        <w:rPr>
          <w:highlight w:val="white"/>
        </w:rPr>
      </w:pPr>
      <w:bookmarkStart w:id="78" w:name="_Toc212039558"/>
      <w:r>
        <w:rPr>
          <w:highlight w:val="white"/>
        </w:rPr>
        <w:t>3.2. Reforma administrativnih procesa</w:t>
      </w:r>
      <w:bookmarkEnd w:id="78"/>
    </w:p>
    <w:p w:rsidR="00E944C2" w:rsidRDefault="00E944C2" w:rsidP="00316155">
      <w:pPr>
        <w:pStyle w:val="Normal1"/>
        <w:jc w:val="both"/>
      </w:pPr>
    </w:p>
    <w:p w:rsidR="00E944C2" w:rsidRDefault="00F7666C" w:rsidP="00316155">
      <w:pPr>
        <w:pStyle w:val="Heading3"/>
        <w:jc w:val="both"/>
      </w:pPr>
      <w:bookmarkStart w:id="79" w:name="_Toc212039559"/>
      <w:r>
        <w:t>3.2.1. Implementacija elektronske uprave i digitalizacija administrativnih postupaka</w:t>
      </w:r>
      <w:bookmarkEnd w:id="79"/>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Reforma administrativnih procesa kroz digitalizaciju predstavlja jedan od ključnih stubova modernizacije javne uprave Glavnog grada. Cilj je uspostaviti efikasan, transparentan i građanima i investitorima pristupačan sistem, koji omogućava bržu komunikaciju, smanjenje troškova i povećanje povjerenja u rad lokalne administracije.</w:t>
      </w:r>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Ključni pravci djelovanja:</w:t>
      </w:r>
    </w:p>
    <w:p w:rsidR="00E944C2" w:rsidRDefault="00F7666C" w:rsidP="00E36C81">
      <w:pPr>
        <w:pStyle w:val="Normal1"/>
        <w:numPr>
          <w:ilvl w:val="0"/>
          <w:numId w:val="11"/>
        </w:numPr>
        <w:spacing w:before="280"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Digitalizacija upravnih postupaka i servisa</w:t>
      </w:r>
    </w:p>
    <w:p w:rsidR="00E944C2" w:rsidRDefault="00F7666C" w:rsidP="00E36C81">
      <w:pPr>
        <w:pStyle w:val="Normal1"/>
        <w:numPr>
          <w:ilvl w:val="0"/>
          <w:numId w:val="12"/>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Dalja integracija e-usluga kroz jedinstvenu digitalnu platformu Glavnog grada – ePodgorica, kao centralne tačke pristupa svim uslugama Glavnog grada.</w:t>
      </w:r>
    </w:p>
    <w:p w:rsidR="00E944C2" w:rsidRDefault="00F7666C" w:rsidP="00E36C81">
      <w:pPr>
        <w:pStyle w:val="Normal1"/>
        <w:numPr>
          <w:ilvl w:val="0"/>
          <w:numId w:val="12"/>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Unapređenje postojeće platforme ePodgorica novim funkcionalnostima, kao što je elektronska dostava rješenja.</w:t>
      </w:r>
    </w:p>
    <w:p w:rsidR="00E944C2" w:rsidRDefault="00F7666C" w:rsidP="00E36C81">
      <w:pPr>
        <w:pStyle w:val="Normal1"/>
        <w:numPr>
          <w:ilvl w:val="0"/>
          <w:numId w:val="12"/>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Korišćenje kvalifikovanog elektronskog potpisa i elektronskog pečata u službenom postupanju.</w:t>
      </w:r>
    </w:p>
    <w:p w:rsidR="00E944C2" w:rsidRDefault="00F7666C" w:rsidP="00E36C81">
      <w:pPr>
        <w:pStyle w:val="Normal1"/>
        <w:numPr>
          <w:ilvl w:val="0"/>
          <w:numId w:val="11"/>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administrativne efikasnosti</w:t>
      </w:r>
    </w:p>
    <w:p w:rsidR="00E944C2" w:rsidRDefault="00F7666C" w:rsidP="00E36C81">
      <w:pPr>
        <w:pStyle w:val="Normal1"/>
        <w:numPr>
          <w:ilvl w:val="0"/>
          <w:numId w:val="13"/>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Automatizacija ponavljajućih administrativnih zadataka i unapređenje postojećeg sistema za elektronsko upravljanje dokumentima (DMS).</w:t>
      </w:r>
    </w:p>
    <w:p w:rsidR="00E944C2" w:rsidRDefault="00F7666C" w:rsidP="00E36C81">
      <w:pPr>
        <w:pStyle w:val="Normal1"/>
        <w:numPr>
          <w:ilvl w:val="0"/>
          <w:numId w:val="13"/>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Skraćivanje rokova odlučivanja i smanjenje broja koraka u postupcima kroz digitalne tokove rada (workflow).</w:t>
      </w:r>
    </w:p>
    <w:p w:rsidR="00E944C2" w:rsidRDefault="00F7666C" w:rsidP="00E36C81">
      <w:pPr>
        <w:pStyle w:val="Normal1"/>
        <w:numPr>
          <w:ilvl w:val="0"/>
          <w:numId w:val="11"/>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Transparentnost i otvoreni podaci</w:t>
      </w:r>
    </w:p>
    <w:p w:rsidR="00E944C2" w:rsidRDefault="00F7666C" w:rsidP="00E36C81">
      <w:pPr>
        <w:pStyle w:val="Normal1"/>
        <w:numPr>
          <w:ilvl w:val="0"/>
          <w:numId w:val="14"/>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Objavljivanje javnih informacija, planova, budžeta i investicionih dokumenata putem Open Data portala.</w:t>
      </w:r>
    </w:p>
    <w:p w:rsidR="00E944C2" w:rsidRDefault="00F7666C" w:rsidP="00E36C81">
      <w:pPr>
        <w:pStyle w:val="Normal1"/>
        <w:numPr>
          <w:ilvl w:val="0"/>
          <w:numId w:val="11"/>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Podrška investitorima i privredi</w:t>
      </w:r>
    </w:p>
    <w:p w:rsidR="00E944C2" w:rsidRDefault="00F7666C" w:rsidP="00E36C81">
      <w:pPr>
        <w:pStyle w:val="Normal1"/>
        <w:numPr>
          <w:ilvl w:val="0"/>
          <w:numId w:val="15"/>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Digitalizacija procesa izdavanja urbanističko-tehničkih uslova, građevinskih i upotrebnih dozvola i saglasnosti.</w:t>
      </w:r>
    </w:p>
    <w:p w:rsidR="00E944C2" w:rsidRDefault="00F7666C" w:rsidP="00E36C81">
      <w:pPr>
        <w:pStyle w:val="Normal1"/>
        <w:numPr>
          <w:ilvl w:val="0"/>
          <w:numId w:val="15"/>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Uspostavljanje elektronskog registra poslovnih zona i dostupnih investicionih lokacija.</w:t>
      </w:r>
    </w:p>
    <w:p w:rsidR="00E944C2" w:rsidRDefault="00F7666C" w:rsidP="00E36C81">
      <w:pPr>
        <w:pStyle w:val="Normal1"/>
        <w:numPr>
          <w:ilvl w:val="0"/>
          <w:numId w:val="15"/>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Povezivanje sa državnim sistemima (CRPS, Poreska uprava) radi ubrzavanja procedura za investitore.</w:t>
      </w:r>
    </w:p>
    <w:p w:rsidR="00E944C2" w:rsidRDefault="00F7666C">
      <w:pPr>
        <w:pStyle w:val="Normal1"/>
        <w:numPr>
          <w:ilvl w:val="0"/>
          <w:numId w:val="11"/>
        </w:numPr>
        <w:spacing w:after="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digitalnih kapaciteta unutar uprave</w:t>
      </w:r>
    </w:p>
    <w:p w:rsidR="00E944C2" w:rsidRDefault="00F7666C">
      <w:pPr>
        <w:pStyle w:val="Normal1"/>
        <w:numPr>
          <w:ilvl w:val="0"/>
          <w:numId w:val="16"/>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Kontinuirana obuka zaposlenih za korišćenje digitalnih alata i e-servisa.</w:t>
      </w:r>
    </w:p>
    <w:p w:rsidR="00E944C2" w:rsidRDefault="00F7666C">
      <w:pPr>
        <w:pStyle w:val="Normal1"/>
        <w:numPr>
          <w:ilvl w:val="0"/>
          <w:numId w:val="16"/>
        </w:numPr>
        <w:spacing w:after="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Jačanje interne IT infrastrukture i bezbjednosnih protokola.</w:t>
      </w:r>
    </w:p>
    <w:p w:rsidR="00E944C2" w:rsidRDefault="00F7666C">
      <w:pPr>
        <w:pStyle w:val="Normal1"/>
        <w:numPr>
          <w:ilvl w:val="0"/>
          <w:numId w:val="16"/>
        </w:numPr>
        <w:spacing w:after="280" w:line="360" w:lineRule="auto"/>
        <w:jc w:val="both"/>
        <w:rPr>
          <w:rFonts w:ascii="Courier New" w:eastAsia="Courier New" w:hAnsi="Courier New" w:cs="Courier New"/>
          <w:sz w:val="20"/>
          <w:szCs w:val="20"/>
        </w:rPr>
      </w:pPr>
      <w:r>
        <w:rPr>
          <w:rFonts w:ascii="Times New Roman" w:eastAsia="Times New Roman" w:hAnsi="Times New Roman" w:cs="Times New Roman"/>
          <w:sz w:val="24"/>
          <w:szCs w:val="24"/>
        </w:rPr>
        <w:t>Promovisanje kulture digitalne transformacije i inovacija u radu uprave Glavnog grada.</w:t>
      </w:r>
    </w:p>
    <w:p w:rsidR="00E944C2" w:rsidRDefault="00E944C2" w:rsidP="00316155">
      <w:pPr>
        <w:pStyle w:val="Heading3"/>
        <w:jc w:val="both"/>
        <w:rPr>
          <w:rFonts w:eastAsia="Calibri"/>
        </w:rPr>
      </w:pPr>
    </w:p>
    <w:p w:rsidR="00E944C2" w:rsidRDefault="00F7666C" w:rsidP="00316155">
      <w:pPr>
        <w:pStyle w:val="Heading3"/>
        <w:jc w:val="both"/>
      </w:pPr>
      <w:bookmarkStart w:id="80" w:name="_Toc212039560"/>
      <w:r>
        <w:t>3.3. Razvoj poljoprivrednog sektora</w:t>
      </w:r>
      <w:bookmarkEnd w:id="80"/>
    </w:p>
    <w:p w:rsidR="00E944C2" w:rsidRDefault="00E944C2" w:rsidP="00316155">
      <w:pPr>
        <w:pStyle w:val="Normal1"/>
        <w:jc w:val="both"/>
      </w:pPr>
    </w:p>
    <w:p w:rsidR="00E944C2" w:rsidRDefault="00F7666C" w:rsidP="00316155">
      <w:pPr>
        <w:pStyle w:val="Heading3"/>
        <w:jc w:val="both"/>
      </w:pPr>
      <w:bookmarkStart w:id="81" w:name="_Toc212039561"/>
      <w:r>
        <w:t>3.3.1. Usvajanje DUP-a i dobijanje UTU za definisanje zona za razvoj poljoprivrede</w:t>
      </w:r>
      <w:bookmarkEnd w:id="81"/>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Nepostojanje planske dokumentacije u većini poljoprivrednih i ruralnih područja Glavnog grada predstavljaju smetnju za potencijalni dalji razvoj, pa prioritet treba biti da se u periodu u narednih 5 godina, definišu zone za razvoj poljoprivrede i agroturizma. Nakon usvajanja DUP-a trebaju sestvoriti preduslovi za dobijanje UTU za izgradnju do 4 stočarske farme, godišnje ili do 20 stočarskih farmi u petogodišnjem periodu.</w:t>
      </w:r>
    </w:p>
    <w:p w:rsidR="00E944C2" w:rsidRDefault="00F7666C" w:rsidP="00316155">
      <w:pPr>
        <w:pStyle w:val="Heading3"/>
        <w:jc w:val="both"/>
      </w:pPr>
      <w:bookmarkStart w:id="82" w:name="_Toc212039562"/>
      <w:r>
        <w:t>3.3.2. Izdavanja vodnih akata</w:t>
      </w:r>
      <w:bookmarkEnd w:id="82"/>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za podršku poljoprivredi i ruralnom razvoju ima nadležnost u dijelu izdavanja vodnih akata na lokalnom nivou i očigledan je nedostatak poštovanja zakonskih normi i procedura,  pa je plan da se u narednih 5 godina broj izdatih vodnih akata koji je sada na godišnjem nivou ispod 10, poveća i bude iznad 40, čime će Služba postati više samoodrživa i biće u toku različitih investicija koje do sada nije mogla da evidentira zbog izbjegavanja zakonskih procedura u dijelu izdavanja prvenstveno vodnih dozvola.</w:t>
      </w:r>
    </w:p>
    <w:p w:rsidR="00E944C2" w:rsidRDefault="00F7666C" w:rsidP="00316155">
      <w:pPr>
        <w:pStyle w:val="Heading3"/>
        <w:jc w:val="both"/>
      </w:pPr>
      <w:bookmarkStart w:id="83" w:name="_Toc212039563"/>
      <w:r>
        <w:t>3.3.3. Stočno groblje</w:t>
      </w:r>
      <w:bookmarkEnd w:id="83"/>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Glavni grad u ovom trenutku nema lokaciju za izgradnju stočnog groblja pa se ta problematika treba riješiti na način da se u prvoj narednoj godini odredi lokacija, izradi idejno i tehnološko rješenje sa revidovanim glavnim projektom, a da se u periodu do 3 godine od usvajanja ovog strateškog plana izradi i pusti u funkciju. Broj uginulih životinja u ovom trenutku nije mjerljiv, jer ne postoji precizna evidencija, ali se pored domaćih životinja usled uginuća, treba odrediti i posebna lokacija za kućne ljubimce, kao i stočno groblje u slučaju epidemija, kako zakon i nalaže. </w:t>
      </w:r>
    </w:p>
    <w:p w:rsidR="00E944C2" w:rsidRDefault="00F7666C" w:rsidP="00316155">
      <w:pPr>
        <w:pStyle w:val="Heading3"/>
        <w:jc w:val="both"/>
      </w:pPr>
      <w:bookmarkStart w:id="84" w:name="_Toc212039564"/>
      <w:r>
        <w:t>3.3.4. Mobilne spalionice</w:t>
      </w:r>
      <w:bookmarkEnd w:id="84"/>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Trebaju biti u sastavu stočnog groblja za potrebe najčešće spaljivanja uginulih životinja na lokacijama udaljenim od planiranog stočnog groblja i u slučajevima sprečavanja širenja zaraznih bolesti. Pokretnu spalionicu obezbijediti u periodu do 3 godine od usvajanja ovog strateškog plana.</w:t>
      </w:r>
    </w:p>
    <w:p w:rsidR="00E944C2" w:rsidRDefault="00F7666C" w:rsidP="00316155">
      <w:pPr>
        <w:pStyle w:val="Heading3"/>
        <w:jc w:val="both"/>
      </w:pPr>
      <w:bookmarkStart w:id="85" w:name="_Toc212039565"/>
      <w:r>
        <w:t>3.3.5. Herbal ture, katuni i planinski vijenci Podgorice</w:t>
      </w:r>
      <w:bookmarkEnd w:id="85"/>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svih šest područja Glavnog grada razviti sa LTO Herbal ture i mape, katuni i planinski vijenci Podgorice, do 10 kilometara trase godišnje, sa označenim mjestima i vidikovcima. Do kraja 2030. godine Glavni grad bi trebao imati do 50 km određenih ruta za Herbal turizam i promociju katuna kao specifikuma vezanog za Crnu Goru, uključujući i ture na planinskim vijencima Podgorice, u cilju jačanja ruralnog razvoja i agroturizma.</w:t>
      </w:r>
    </w:p>
    <w:p w:rsidR="00E944C2" w:rsidRDefault="00F7666C" w:rsidP="00316155">
      <w:pPr>
        <w:pStyle w:val="Heading3"/>
        <w:jc w:val="both"/>
      </w:pPr>
      <w:bookmarkStart w:id="86" w:name="_Toc212039566"/>
      <w:r>
        <w:t>3.3.6. Medni put</w:t>
      </w:r>
      <w:bookmarkEnd w:id="86"/>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svih šest područja Glavnog grada razviti sa LTO medni put i mape, do 10 kilometara trase, godišnje, sa označenim mjestima i vidikovcima. Do kraja 2030. godine Glavni grad bi trebalo da ima do 50 km određenih ruta za Medni put.</w:t>
      </w:r>
    </w:p>
    <w:p w:rsidR="00E944C2" w:rsidRDefault="00E944C2" w:rsidP="00316155">
      <w:pPr>
        <w:pStyle w:val="Heading3"/>
        <w:jc w:val="both"/>
      </w:pPr>
      <w:bookmarkStart w:id="87" w:name="_Toc212039567"/>
    </w:p>
    <w:p w:rsidR="00E944C2" w:rsidRDefault="00F7666C" w:rsidP="00316155">
      <w:pPr>
        <w:pStyle w:val="Heading3"/>
        <w:jc w:val="both"/>
      </w:pPr>
      <w:r>
        <w:t>3.3.7. GPS obilježavnje uljanika</w:t>
      </w:r>
      <w:bookmarkEnd w:id="87"/>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 postoji evidencija uljanika i košnica u Glavnom gradu i ovom inovativnom metodom u periodu do 2 godine nakon usvajanja strateškog plana, ovim projektom bi izvršili kompletnu evidenciju uljanika i pčelinjih društava na teritoriji Glavnog grada.</w:t>
      </w:r>
    </w:p>
    <w:p w:rsidR="00E944C2" w:rsidRDefault="00F7666C" w:rsidP="00316155">
      <w:pPr>
        <w:pStyle w:val="Heading3"/>
        <w:jc w:val="both"/>
      </w:pPr>
      <w:bookmarkStart w:id="88" w:name="_Toc212039568"/>
      <w:r>
        <w:t>3.3.8. Vinske ceste</w:t>
      </w:r>
      <w:bookmarkEnd w:id="88"/>
    </w:p>
    <w:p w:rsidR="00E944C2" w:rsidRDefault="00E944C2" w:rsidP="00316155">
      <w:pPr>
        <w:pStyle w:val="Normal1"/>
        <w:jc w:val="both"/>
      </w:pPr>
    </w:p>
    <w:p w:rsidR="00E944C2" w:rsidRDefault="00F7666C" w:rsidP="00316155">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svih šest područja Glavnog grada razviti sa LTO mape za vinski turizam, do 10 kilometara trase, godišnje, sa označenim mjestima i vidikovcima. Do kraja 2030. godine Glavni grad bi trebalo da ima do 50 km određenih ruta za Vinske ceste.</w:t>
      </w:r>
    </w:p>
    <w:p w:rsidR="00900D75" w:rsidRDefault="00900D75" w:rsidP="00316155">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89" w:name="_Toc212039569"/>
      <w:r>
        <w:t>3.3.9. Uvođenje modernih standarda i sistemaa (HACCP</w:t>
      </w:r>
      <w:bookmarkEnd w:id="89"/>
      <w:r>
        <w:t>, ISO itd.)</w:t>
      </w:r>
    </w:p>
    <w:p w:rsidR="00E944C2" w:rsidRDefault="00E944C2" w:rsidP="00316155">
      <w:pPr>
        <w:pStyle w:val="Normal1"/>
        <w:ind w:left="720"/>
        <w:jc w:val="both"/>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Radi osiguranja bezbjednosti finalnih proizvoda, uvedene su i planirane su nove mjere podrške koje bi stimulisale uvođenje modernijih pristupa poput uvođenja HACCP sistema i ISO standarda. Planirana je podrška procesima predsertifikacije, sertifikacije ili resertifikacije, sa predviđenim uvođenjem standarda i sistema za do 5 kompanija godišnje, odnosno do 25 za petogodišnji period.</w:t>
      </w:r>
    </w:p>
    <w:p w:rsidR="00E944C2" w:rsidRDefault="00F7666C" w:rsidP="00316155">
      <w:pPr>
        <w:pStyle w:val="Heading3"/>
        <w:jc w:val="both"/>
      </w:pPr>
      <w:bookmarkStart w:id="90" w:name="_Toc212039570"/>
      <w:r>
        <w:t>3.3.10. Formiranje lokalnih akcionih grupa (LAG</w:t>
      </w:r>
      <w:bookmarkEnd w:id="90"/>
      <w:r>
        <w:t>-ova)</w:t>
      </w:r>
    </w:p>
    <w:p w:rsidR="00E944C2" w:rsidRDefault="00F7666C" w:rsidP="00E36C81">
      <w:pPr>
        <w:pStyle w:val="Normal1"/>
        <w:spacing w:before="240" w:after="240" w:line="360" w:lineRule="auto"/>
        <w:jc w:val="both"/>
      </w:pPr>
      <w:r>
        <w:rPr>
          <w:rFonts w:ascii="Times New Roman" w:eastAsia="Times New Roman" w:hAnsi="Times New Roman" w:cs="Times New Roman"/>
          <w:sz w:val="24"/>
          <w:szCs w:val="24"/>
        </w:rPr>
        <w:t>Kroz informisanje Opština sa kojima se graniči Glavni grad Podgorica, privatnim sektorom i poljoprivrednim proizvođačima, planirano je formiranje lokalnih akcionih grupa u cilju ulaganja u razvoj ruralnih područja i infrastrukturu kroz pribavljanje finansijske podrške iz EU fondova u iznosu i do 100%. Planirano je formiranje do 2 LAG-a sa susjednim opštinamagodišnje, odnosno do 10 za period od 2026. do 2031. godine.</w:t>
      </w:r>
    </w:p>
    <w:p w:rsidR="00E944C2" w:rsidRDefault="00F7666C" w:rsidP="00316155">
      <w:pPr>
        <w:pStyle w:val="Heading3"/>
        <w:jc w:val="both"/>
      </w:pPr>
      <w:bookmarkStart w:id="91" w:name="_Toc212039571"/>
      <w:r>
        <w:t>3.3.11. Lokalni sajmovi</w:t>
      </w:r>
      <w:bookmarkEnd w:id="91"/>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Radi promocije poljoprivrede i ruralnog razvoja u saradnji sa nadležnim ministarstvom, Privrednom komorom Crne Gore ili NVO sektorom sprovesti organizaciju do 3 lokalna sajma poljoprivrede na nivou godine.</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92" w:name="_Toc212039572"/>
      <w:r>
        <w:t>3.3.12. Čišćenje i održavanje kanala za navodnjavanje na teritoriji Glavnog grada</w:t>
      </w:r>
      <w:bookmarkEnd w:id="92"/>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Kanali za navodnjavanje na području Podgorice datiraju od sredine prošlog vijeka i u jako su lošem stanju, a dio poljoprivredne proizvodnje zavisi od stanja istih, pa je preporuka da se ovim Strateškim planom, predvidi čišćenje kanala do 5 km godišnje.</w:t>
      </w:r>
    </w:p>
    <w:p w:rsidR="00E944C2" w:rsidRDefault="00E944C2" w:rsidP="00316155">
      <w:pPr>
        <w:pStyle w:val="Heading2"/>
        <w:jc w:val="both"/>
      </w:pPr>
    </w:p>
    <w:p w:rsidR="00E944C2" w:rsidRDefault="00F7666C" w:rsidP="00316155">
      <w:pPr>
        <w:pStyle w:val="Heading2"/>
        <w:jc w:val="both"/>
        <w:rPr>
          <w:rFonts w:eastAsia="Times New Roman" w:cs="Times New Roman"/>
          <w:b/>
          <w:sz w:val="24"/>
          <w:szCs w:val="24"/>
          <w:highlight w:val="white"/>
        </w:rPr>
      </w:pPr>
      <w:bookmarkStart w:id="93" w:name="_Toc212039573"/>
      <w:r>
        <w:rPr>
          <w:rFonts w:eastAsia="Times New Roman" w:cs="Times New Roman"/>
          <w:sz w:val="24"/>
          <w:szCs w:val="24"/>
          <w:highlight w:val="white"/>
        </w:rPr>
        <w:t>3.4. Digitalizacija</w:t>
      </w:r>
      <w:bookmarkEnd w:id="93"/>
    </w:p>
    <w:p w:rsidR="00E944C2" w:rsidRDefault="00E944C2" w:rsidP="00316155">
      <w:pPr>
        <w:pStyle w:val="Normal1"/>
        <w:jc w:val="both"/>
        <w:rPr>
          <w:rFonts w:ascii="Times New Roman" w:eastAsia="Times New Roman" w:hAnsi="Times New Roman" w:cs="Times New Roman"/>
        </w:rPr>
      </w:pPr>
    </w:p>
    <w:p w:rsidR="00E944C2" w:rsidRDefault="00F7666C" w:rsidP="00E36C81">
      <w:pPr>
        <w:pStyle w:val="Normal1"/>
        <w:spacing w:line="360" w:lineRule="auto"/>
        <w:jc w:val="both"/>
        <w:rPr>
          <w:rFonts w:ascii="Times New Roman" w:eastAsia="Times New Roman" w:hAnsi="Times New Roman" w:cs="Times New Roman"/>
          <w:sz w:val="24"/>
          <w:szCs w:val="24"/>
        </w:rPr>
      </w:pPr>
      <w:bookmarkStart w:id="94" w:name="_6ytzhzv36cqz" w:colFirst="0" w:colLast="0"/>
      <w:bookmarkEnd w:id="94"/>
      <w:r>
        <w:rPr>
          <w:rFonts w:ascii="Times New Roman" w:eastAsia="Times New Roman" w:hAnsi="Times New Roman" w:cs="Times New Roman"/>
          <w:sz w:val="24"/>
          <w:szCs w:val="24"/>
        </w:rPr>
        <w:t>Cilj digitalizacije Glavnog grada Podgorice jeste implementacija naprednih tehnoloških rješenja koja omogućavaju efikasnije pružanje lokalnih javnih usluga, veću transparentnost rada gradske uprave i poboljšanu interakciju između građana, privrednih subjekata i administracije. Fokus digitalne transformacije je na modernizaciji gradske infrastrukture, optimizaciji administrativnih procesa i razvoju digitalnih platformi koje omogućavaju građanima, preduzećima i investitorima brz i jednostavan pristup informacijama i uslugama u realnom vremenu.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Glavnom gradu Podgorica može se valorizovati nekoliko resursa iz domena digitalizacije i koncepta pametnog grada. Ovi resursi obuhvataju različite sektore, uključujući infrastrukturu, podatke, ljudski kapital, tehnologiju i dr. Dobra pokrivenost mrežom velike brzine u posjedu postojećih operatora mobilne telefonije i Interneta na teritoriji Glavnog grada, kao i značajna pokrivenost optičkom mrežom Glavnog grada predstavlja značajan resurs. Proširivanje i optimizacija interneta velike brzine i 5G povezivanja može podržati brojne aplikacije za pametne gradove, uključujući IoT uređaje, pametne mreže i analizu podataka u realnom vremenu.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gradskog centara podataka (Data centar Glavnog grada) i korišćenje usluga u oblaku može poboljšati skladištenje podataka, mogućnosti obrade i ukupnu efikasnost IT infrastrukture. Primjena senzora i Internet inteligentnih uređaja (eng. Internet of Things - IoT) uređaja za prikupljanje podataka u realnom vremenu o saobraćaju, kvalitetu vazduha, upotrebi vode i drugim kritičnim parametrima može poboljšati donošenje odluka i upravljanje resursima.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Kreiranje i održavanje platformi otvorenih podataka na kojima su različiti skupovi podataka (transport, upotreba energije, itd.) dostupni javnosti može podstaći inovacije i transparentnost.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Postojanje studijskih programa vezanih za IT na postojećim univerzitetima u Crnoj Gore, kao i rastući broj specijalizovanih obuka predstavlja dobru osnovu kada su ljudski resursi u pitanju. Razvijanje radne snage kvalifikovane u IT, nauci o podacima, sajber bezbjednosti i drugim relevantnim oblastima je ključno za održavanje i unaprjeđenje inicijativa pametnih gradova. Međutim neophodno je obezbijediti kontinuirano i cjeloživotno učenje. Takođe, ulaganje u obuku građana o digitalnoj pismenosti i vještinama može poboljšati njihovu sposobnost da efikasno koriste digitalne usluge, promovišući veću inkluziju i učešće.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Neophodna finansijska podrška za inicijativu za pametne gradove može se obezbijediti kroz grantove i finansiranja od nacionalnih i međunarodnih tijela, kao što je Evropska unija. Takođe, postoji mogućnost korišćenja javno-privatnog partnerstva za finansiranje i implementaciju projekata pametnih gradova, obezbjeđivanje održivog razvoja kroz zajedničke resurse i stručnost.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Kada je riječ o angažovanju zajednice, stvaranje platformi za angažovanje građana i povratne informacije može osigurati da se inicijative pametnih gradova usklade sa potrebama i preferencijama zajednice, podstičući osećaj vlasništva i saradnje.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Efikasnom valorizacijom ovih resursa, Podgorica može postići značajan napredak na svom putu ka tome da postane pametan grad. Svaki od ovih resursa, kada se strateški koristi, može doprinijeti stvaranju efikasnijeg, održivijeg i životnog urbanog okruženja. Ključ uspjeha leži u holističkom pristupu koji integriše tehnologiju, podatke i ljudski kapital dok njeguje saradnju između javnih, privatnih, akademskih i drugih zainteresovanih strana u zajednici.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prethodnom periodu, Sekretarijat za lokalnu samoupravu i saradnju sa civilnim društvom, sproveo je aktivnosti u cilju unapređenja usluga, kako bi iste građanima bile dostupne na transparentan i jednostavan način.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oblasti omladinske politike, kreirana je i web stranica mladi.podgorica.me, čiji je osnovni cilj da mladima u Glavnom gradu na jednom mjestu pruži sve neophodne informacije kako o prilikama koje su im na nivou grada dostupne, tako i o kulturnim, sportskim i edukativnim sadržajima. Osim toga, donijeta je i nova Odluka o osnivanju i načinu funkcionisanja Omladinskog kluba Glavnog grada- Podgorice, kojim će se unaprijediti postojeći pravni okvir za funkcionisanje omladinskih klubova, kao mjesta na kojima mladi na kvalitetan način provode svoje slobodno vrijeme, kako u urbanim, tako i u ruralnim područjima Podgorice.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Nedostaci koji najviše utiču na kvalitet života građana u Glavnom gradu iz oblasti djelovanja Sekretarijata za lokalnu samoupravu i saradnju sa civilnim društvom, obuhvataju kako neadekvatnu infrastrukturu, u smislu potrebe za unapređenjem stanja puteva, životnog okruženja i prostora u nepristupačnim predjelima grada gdje građani funkcionišu, tako i nedostatak adekvatnih prostora, gdje bi se mladi okupljali , razvijali svoje vještine i znanja, te na najbolji način provodili slobodno vrijeme. U pogledu digitalizacije cjelokupnog sistema, najprije odjeljenja za građanska stanja, kadrovsku politiku te mjesnih zajednica, nedostaci se mogu tražiti u okviru postojećih administrativnih procesa, koji zahtijevaju vrijeme, zatim u  ograničenom stepenu dostupnosti online usluga i rješavanja problema zajednice, te u okviru limitirane informisanost građana o  dokumentima i procedurama koje su im neophodne radi ostvarivanja sopstvenih prava.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Digitalizacija kadrovske politike može značajno unaprijediti efikasnost upravljanja ljudskim resursima, poboljšati transparentnost i omogućiti lakši pristup informacijama. Ovaj proces može doprinijeti i valorizaciji različitih resursa u lokalnoj zajednici kroz bolje upravljanje i korišćenje dostupnih resursa. Nedostatak adekvatne digitalizacije sistema može se unaprijediti u prvom redu kroz digitalizaciju procesa zapošljavanja, odnosno kroz mogućnost online prijavljivanja, i praćenja statusa prijave, te eventualno uvođenje elektronskih obrazaca i dokumenata.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Ovi nedostaci predstavljaju ključne oblasti na kojima se radi a koji se dodatno nastoje otkloniti većim stepenom digitalizacije kojem će Glavni grad biti posvećen i u narednom periodu i čije adekvatno rješavanje će doprinijeti poboljšanju kvaliteta života građana i povećanju efikasnosti i transparentnosti u pružanju usluga. Osim navedenog, direktnim uključivanjem, odnosno participacijom građana u pitanjima na lokalnom nivou koja ih se direktno tiču, kroz inovativne inicijative, omogućiće se kreiranje boljih pravnih okvira i propisa koji targetiraju lokalnu zajednicu.</w:t>
      </w:r>
    </w:p>
    <w:p w:rsidR="00E944C2" w:rsidRDefault="00F7666C" w:rsidP="00316155">
      <w:pPr>
        <w:pStyle w:val="Heading2"/>
        <w:jc w:val="both"/>
      </w:pPr>
      <w:bookmarkStart w:id="95" w:name="_Toc212039574"/>
      <w:r>
        <w:t>3.5. Razvoj obrazovanja i zdravstvenih usluga</w:t>
      </w:r>
      <w:bookmarkEnd w:id="95"/>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cilj razvoja obrazovanja i zdravstvenih usluga u Podgorici je unapređenje kvaliteta i dostupnosti ovih ključnih društvenih servisa. Iako glavni grad ne posjeduje direktne ingerencije nad obrazovnim i zdravstvenim sistemima, koji su primarno u nadležnosti nadležnih ministarstava, postoji značajan prostor za doprinos u smislu infrastrukturne podrške, implementacije tehnoloških rješenja, te poboljšanja uslova za korisnike ovih usluga. Strategija se fokusira na dva ključna aspekta: modernizaciju obrazovnih institucija i unapređenje zdravstvenih usluga.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96" w:name="_Toc212039575"/>
      <w:r>
        <w:t>3.5.1. Modernizacija obrazovnih institucija i uvođenje novih tehnologija u nastavni proces</w:t>
      </w:r>
      <w:bookmarkEnd w:id="96"/>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Ova tačka teži ka integraciji novih tehnologija u obrazovni proces kako bi se povećala efikasnost učenja i dostupnost modernih edukativnih resursa. Cilj je stvoriti stimulativno okruženje koje promoviše inovacije i kritičko razmišljanje među učenicima i studentima.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Partnerstvo sa Ministarstvom prosvjete, nauke i inovacija: Saradnja u razvoju i implementaciji nacionalnih i lokalnih edukativnih tehnoloških projekata, kao i izgradnja, rekonstrukcija i modernizacija obrazovnih institucija tamo gdje usluga nije na zadovoljavajucem nivou.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Modernizacija infrastrukture: Investicije u opremanje učionica modernom tehnologijom, uključujući pametne table, digitalne laboratorije i IT opremu.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Programi obuke za nastavnike: Organizovanje treninga i radionica za nastavnike za korištenje digitalnih alata i metoda u nastavi.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digitalnih kurikuluma: Kreiranje i implementacija digitalnih kurseva koji će biti dostupni i van tradicionalnog učionice.</w:t>
      </w:r>
    </w:p>
    <w:p w:rsidR="00E944C2" w:rsidRDefault="00F7666C" w:rsidP="00316155">
      <w:pPr>
        <w:pStyle w:val="Heading3"/>
        <w:jc w:val="both"/>
      </w:pPr>
      <w:bookmarkStart w:id="97" w:name="_Toc212039576"/>
      <w:r>
        <w:t>3.5.2. Povećanje dostupnosti i kvalitet zdravstvenih usluga</w:t>
      </w:r>
      <w:bookmarkEnd w:id="97"/>
    </w:p>
    <w:p w:rsidR="00E944C2" w:rsidRDefault="00E944C2" w:rsidP="00316155">
      <w:pPr>
        <w:pStyle w:val="Normal1"/>
        <w:jc w:val="both"/>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Cilj je poboljšati kvalitet zdravstvenih usluga i učiniti ih dostupnijima za sve građane Podgorice, posebno fokusirajući se na modernizaciju zdravstvene infrastrukture i unapređenje servisa.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Koordinacija sa Ministarstvom zdravlja: Rad na zajedničkim projektima za poboljšanje zdravstvenih usluga, uključujući finansiranje i tehničku podršku.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zdravstvene infrastrukture: Izgradnja, renoviranje i opremanje zdravstvenih ustanova savremenom medicinskom opremom i tehnologijama.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Implementacija IT rješenja u zdravstvu: Digitalizacija zdravstvenih kartona, online zakazivanje pregleda i telemedicina.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Edukativne kampanje: Promovisanje zdravstvene prevencije i edukacije o važnosti redovnih pregleda i zdravog životnog stila.</w:t>
      </w:r>
    </w:p>
    <w:p w:rsidR="00E944C2" w:rsidRDefault="00F7666C" w:rsidP="00316155">
      <w:pPr>
        <w:pStyle w:val="Heading3"/>
        <w:jc w:val="both"/>
      </w:pPr>
      <w:bookmarkStart w:id="98" w:name="_Toc212039577"/>
      <w:r>
        <w:t>3.5.3. Zajednički pristupi i saradnja</w:t>
      </w:r>
      <w:bookmarkEnd w:id="98"/>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Formiranje radnih grupa i odbora: Uključivanje predstavnika ministarstava, lokalne samouprave i stručne javnosti u planiranje i implementaciju projekata.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Finansijske i logističke sinergije: Iskorištavanje zajedničkih resursa za finansiranje većih infrastrukturnih i tehnoloških projekata.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Transparentnost i uključivanje javnosti: Redovno informisanje građana, NVO i privrede o planovima i napretku, te organizovanje javnih konsultacija.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Implementacija ovih mjera zahtijeva koordinisani pristup i snažnu političku volju, ali predstavlja ključne korake ka podizanju kvaliteta života u Podgorici, pružajući bolje obrazovne i zdravstvene usluge svojim građanima. </w:t>
      </w:r>
    </w:p>
    <w:p w:rsidR="00E944C2" w:rsidRDefault="00F7666C" w:rsidP="00316155">
      <w:pPr>
        <w:pStyle w:val="Heading3"/>
        <w:jc w:val="both"/>
      </w:pPr>
      <w:bookmarkStart w:id="99" w:name="_Toc212039578"/>
      <w:r>
        <w:t>3.5.4. Razvoj transportne i komunikacione infrastrukture</w:t>
      </w:r>
      <w:bookmarkEnd w:id="99"/>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Razvoj transportne i komunikacione infrastrukture ključan je za privlačenje investicija, posebno u industrijskim zonama, specijalno određenim i infrastrukturno opremljenim prostorima namenjenim za razvoj različitih industrijskih aktivnosti. Ove zone obično nude brojne pogodnosti kako bi privukle investitore i olakšale poslovanje, uključujući povoljne uslove za zakup ili kupovinu zemljišta, pristup osnovnoj infrastrukturi (kao što su putevi, struja, voda i kanalizacija), te često dodatne fiskalne i finansijske olakšice. S tim u vezi Vlada je pokrenula izradu lokalne studije lokacije </w:t>
      </w:r>
      <w:r>
        <w:rPr>
          <w:rFonts w:ascii="Times New Roman" w:eastAsia="Times New Roman" w:hAnsi="Times New Roman" w:cs="Times New Roman"/>
          <w:b/>
          <w:color w:val="000000"/>
          <w:sz w:val="24"/>
          <w:szCs w:val="24"/>
        </w:rPr>
        <w:t xml:space="preserve">Central business district </w:t>
      </w:r>
      <w:r>
        <w:rPr>
          <w:rFonts w:ascii="Times New Roman" w:eastAsia="Times New Roman" w:hAnsi="Times New Roman" w:cs="Times New Roman"/>
          <w:color w:val="000000"/>
          <w:sz w:val="24"/>
          <w:szCs w:val="24"/>
        </w:rPr>
        <w:t>koja će obuhvatiti prostor od 30 hektara. Prostor koji će obuhvatiti ovaj planski dokument nalazi se uz magistralni pravac M2 Podgorica-Bar, u zoni centralnih djelatnosti Zelenika, u zahvatu Prostorno urbanističkog plana Podgorica.</w:t>
      </w:r>
    </w:p>
    <w:p w:rsidR="00E944C2" w:rsidRDefault="00F7666C" w:rsidP="00E36C81">
      <w:pPr>
        <w:pStyle w:val="Normal1"/>
        <w:numPr>
          <w:ilvl w:val="0"/>
          <w:numId w:val="17"/>
        </w:numPr>
        <w:spacing w:line="360" w:lineRule="auto"/>
        <w:jc w:val="both"/>
      </w:pPr>
      <w:r>
        <w:rPr>
          <w:rFonts w:ascii="Times New Roman" w:eastAsia="Times New Roman" w:hAnsi="Times New Roman" w:cs="Times New Roman"/>
          <w:sz w:val="24"/>
          <w:szCs w:val="24"/>
        </w:rPr>
        <w:t>Rekonstrukcija postojećih puteva u skladu sa važećim strateškim dokumentima (Prostorno urbanistički plan i Plan održive urbane mobilnosti): Unaprijediti kvalitet i bezbjednost saobraćajnica u skladu sa svaremnim trendovima i načelima održive urbane mobilnosti uz uravnotežen razvoj svih vidova prevoza.</w:t>
      </w:r>
    </w:p>
    <w:p w:rsidR="00E944C2" w:rsidRDefault="00F7666C" w:rsidP="00E36C81">
      <w:pPr>
        <w:pStyle w:val="Normal1"/>
        <w:numPr>
          <w:ilvl w:val="0"/>
          <w:numId w:val="17"/>
        </w:numPr>
        <w:spacing w:line="360" w:lineRule="auto"/>
        <w:jc w:val="both"/>
      </w:pPr>
      <w:r>
        <w:rPr>
          <w:rFonts w:ascii="Times New Roman" w:eastAsia="Times New Roman" w:hAnsi="Times New Roman" w:cs="Times New Roman"/>
          <w:sz w:val="24"/>
          <w:szCs w:val="24"/>
        </w:rPr>
        <w:t>Razvoj javnog prevoza: Investiranje u efikasniji javni prevoz kroz modernizaciju sistema, uvođenje električnih prevoznih sredstava, poboljšanje ponude, povećanje frekventnosti, pristupačnosti i dostupnosti javnog prevoza, jačanje komunikacije sa građanima i slično.</w:t>
      </w:r>
    </w:p>
    <w:p w:rsidR="00E944C2" w:rsidRPr="00316155" w:rsidRDefault="00F7666C" w:rsidP="00E36C81">
      <w:pPr>
        <w:pStyle w:val="Normal1"/>
        <w:numPr>
          <w:ilvl w:val="0"/>
          <w:numId w:val="17"/>
        </w:numPr>
        <w:spacing w:line="360" w:lineRule="auto"/>
        <w:jc w:val="both"/>
      </w:pPr>
      <w:r>
        <w:rPr>
          <w:rFonts w:ascii="Times New Roman" w:eastAsia="Times New Roman" w:hAnsi="Times New Roman" w:cs="Times New Roman"/>
          <w:sz w:val="24"/>
          <w:szCs w:val="24"/>
        </w:rPr>
        <w:t>Unapređenje pješačke i biciklističke infrastrukture: Kontinuirano poboljšanje uslova za kretanje pješaka i korisnika bicikla kroz izgradnju nedostajućih i unapređenje postojećih pješačkih površina, njihovo prilagođavanje potrebama osoba sa invaliditetom i osoba smanjene pokretljivosti i izgradnja kvalitetne i dobro povezane mreže biciklističkih staza u skladu sa standardima.</w:t>
      </w:r>
    </w:p>
    <w:p w:rsidR="000F43B7" w:rsidRDefault="000F43B7" w:rsidP="00900D75">
      <w:pPr>
        <w:pStyle w:val="Normal1"/>
        <w:spacing w:line="360" w:lineRule="auto"/>
        <w:ind w:left="360"/>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održivog javnog prevoza i aktivne mobilnosti:</w:t>
      </w:r>
    </w:p>
    <w:p w:rsidR="00E944C2" w:rsidRDefault="00F7666C" w:rsidP="00E36C81">
      <w:pPr>
        <w:pStyle w:val="Normal1"/>
        <w:numPr>
          <w:ilvl w:val="0"/>
          <w:numId w:val="18"/>
        </w:numPr>
        <w:spacing w:after="0" w:line="360" w:lineRule="auto"/>
        <w:jc w:val="both"/>
        <w:rPr>
          <w:color w:val="000000"/>
          <w:sz w:val="24"/>
          <w:szCs w:val="24"/>
        </w:rPr>
      </w:pPr>
      <w:r>
        <w:rPr>
          <w:rFonts w:ascii="Times New Roman" w:eastAsia="Times New Roman" w:hAnsi="Times New Roman" w:cs="Times New Roman"/>
          <w:color w:val="000000"/>
          <w:sz w:val="24"/>
          <w:szCs w:val="24"/>
        </w:rPr>
        <w:t>Proširenje mreže javnog prevoza sa novim, ekološki prihvatljivim vozilima (električni autobusi).</w:t>
      </w:r>
    </w:p>
    <w:p w:rsidR="00E944C2" w:rsidRDefault="00F7666C" w:rsidP="00E36C81">
      <w:pPr>
        <w:pStyle w:val="Normal1"/>
        <w:numPr>
          <w:ilvl w:val="0"/>
          <w:numId w:val="18"/>
        </w:numPr>
        <w:spacing w:line="360" w:lineRule="auto"/>
        <w:jc w:val="both"/>
        <w:rPr>
          <w:color w:val="000000"/>
          <w:sz w:val="24"/>
          <w:szCs w:val="24"/>
        </w:rPr>
      </w:pPr>
      <w:r>
        <w:rPr>
          <w:rFonts w:ascii="Times New Roman" w:eastAsia="Times New Roman" w:hAnsi="Times New Roman" w:cs="Times New Roman"/>
          <w:color w:val="000000"/>
          <w:sz w:val="24"/>
          <w:szCs w:val="24"/>
        </w:rPr>
        <w:t>Razvoj infrastrukture koji će podsticati građane da koriste aktivne vidove transporta (pješačenje, bicikla, trotineti i druga sredstva mikromobilnosti,).</w:t>
      </w:r>
    </w:p>
    <w:p w:rsidR="00E944C2" w:rsidRDefault="00F7666C" w:rsidP="00E36C81">
      <w:pPr>
        <w:pStyle w:val="Normal1"/>
        <w:spacing w:line="360"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Poboljšati energetsku efikasnost u sektoru saobraćaja kroz: podsticanje upotrebe električnih, hibridnih i vozila naprirodni gas, većeg udjela biogoriva, unapređenje javnog gradskog i međugradskog saobraćaja i uslova za aktivnu mobilnosti (pješačenje, upotreba bicikla i mikromobilnost), standarda za efikasnost vozila, eko-vožnje, preusmjeravanje kamionskog teretnog na željeznički saobraćaj, izmještanje tranitnog saobraćaja iz grada, poboljšanje organizacije i efikasnosti drumskog saobraćaja u gradovima i primjenu integrisanih koncepta (“pametni” gradovi), SDG 7 (7.3).</w:t>
      </w:r>
    </w:p>
    <w:p w:rsidR="00E944C2" w:rsidRDefault="00E944C2" w:rsidP="00316155">
      <w:pPr>
        <w:pStyle w:val="Heading3"/>
        <w:jc w:val="both"/>
      </w:pPr>
    </w:p>
    <w:p w:rsidR="00E944C2" w:rsidRDefault="00F7666C" w:rsidP="00316155">
      <w:pPr>
        <w:pStyle w:val="Heading3"/>
        <w:jc w:val="both"/>
      </w:pPr>
      <w:bookmarkStart w:id="100" w:name="_Toc212039579"/>
      <w:r>
        <w:t>3.5.5. Unapređenje vodovodne infrastrukture i infrastrukture za sakupljanje i prečišćavanje otpadnih voda</w:t>
      </w:r>
      <w:bookmarkEnd w:id="100"/>
    </w:p>
    <w:p w:rsidR="00E944C2" w:rsidRDefault="00E944C2" w:rsidP="00316155">
      <w:pPr>
        <w:pStyle w:val="Normal1"/>
        <w:jc w:val="both"/>
      </w:pP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Poboljšanje vodosnabdijavanja u smislu zamjene postojećih i izgradnje novih cjevovoda značajno bi uticalo na valorizaciju seoskih resursa, kako za mještane tako i za turiste. Poboljšanjem vodosnabdijevanja povećanjem vodoizvorišnih kapaciteta i izgradnjom rezervoara, porasla bi potražnja za nekretninama u gradskim i prigradskim zonama. Česti kvarovi zbog zastarjelosti mreže bi bili prošlost, te bi navedeno takođe uticalo na kvalitet života građana u Glavnom gradu i na povećanje broja turista.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Kako bi se unaprijedilo vodosnabdijevanje i održivost vodovodnog sistema, planirane su brojne infrastrukturne aktivnosti koje obuhvataju modernizaciju, izgradnju novih kapaciteta. Zamjena azbest-cementnih cjevovoda obuhvata izradu Idejnog i Glavnog projekta te zamjenu oko 4,2 km cijevi prema Studiji izvodljivosti, s fokusom na kratkoročne hitne mjere. U cilju smanjenja gubitaka i poboljšanja vodosnabdijevanja, planira se izgradnja gradskog rezervoara sa primarnim cjevovodom od izvorišta, uz izradu Tehno-ekonomske studije sa CB analizom i Idejnog projekta. Za poboljšanje kapaciteta vodosnabdijevanja, predviđena je izgradnja novog bunara kroz tri faze realizacije: izvođenje istražno-eksploatacione bušotine radi utvrđivanja izdašnosti bunara, izrada Glavnog projekta opremanja bunara, te izvođenje radova na opremanju bunara. Unapređenje postojećeg SCADA sistema i nadogradnja SCADA sistema za seoske vodovode realizovaće se u tri faze: unapređenje za postojeća izvorišta, nadogradnja za seoske vodovode i unapređenje za gradsku mrežu sa formiranjem zona i ugradnjom mjerača protoka.</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Zaključno, sve prethodno se odnosi na potrebu daljeg unaprijeđenja Sistema vodosnabdijevanja zbog intenzivnog razvoja i širenja Glavnog grada, pri čemu je u prvom redu potrebno izraditi Studiju vodosnabdijevanja Glavnog grada za period 2026-2045.</w:t>
      </w:r>
    </w:p>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Projekat "Sakupljanje i prečišćavanje otpadnih voda u Podgorici"od jedinstvenog nacionalnog i prekograničnog ekološkog značaja,će doprinijeti poboljšanju higijenskih uslova u Glavnom gradu te zaštiti resursa pitke vode i kvaliteta životne sredine u područjima smještenim nizvodno i pod uticajem rijeke Morače i sliva Skadarskog jezera.</w:t>
      </w:r>
    </w:p>
    <w:p w:rsidR="00E944C2" w:rsidRDefault="00F7666C" w:rsidP="00316155">
      <w:pPr>
        <w:pStyle w:val="Heading3"/>
        <w:jc w:val="both"/>
      </w:pPr>
      <w:bookmarkStart w:id="101" w:name="_Toc212039580"/>
      <w:r>
        <w:t>3.5.6. Modernizacija infrastrukture i unapređenje pijačne djelatnosti</w:t>
      </w:r>
      <w:bookmarkEnd w:id="101"/>
    </w:p>
    <w:p w:rsidR="00E944C2" w:rsidRDefault="00E944C2" w:rsidP="00316155">
      <w:pPr>
        <w:pStyle w:val="Normal1"/>
        <w:jc w:val="both"/>
        <w:rPr>
          <w:rFonts w:ascii="Times New Roman" w:eastAsia="Times New Roman" w:hAnsi="Times New Roman" w:cs="Times New Roman"/>
          <w:b/>
          <w:sz w:val="24"/>
          <w:szCs w:val="24"/>
        </w:rPr>
      </w:pPr>
    </w:p>
    <w:p w:rsidR="00E944C2" w:rsidRDefault="00F7666C" w:rsidP="00316155">
      <w:pPr>
        <w:pStyle w:val="Normal1"/>
        <w:numPr>
          <w:ilvl w:val="0"/>
          <w:numId w:val="19"/>
        </w:numPr>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Kamionska pijaca</w:t>
      </w: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Izgradnjom novih pijačnih objekata i njihovim konstantnim unaprjeđivanjem, pijačna djelatnost u Podgorici, kada su u pitanju maloprodajne pijace je na veoma zadovoljavajućem nivou. Međutim, kada je u pitanju Kamionska pijaca, odnosno pijaca za prodaju na veliko, postojeći uslovi nijesu dobri. Naime, postojeća Kamionska pijaca se nalazi na lokaciji Distributivni centar, zakupljena je od preduzeća “Plodovi Crne Gore”, a ugovor o zakupu je na snazi do 01.02.2027.godine. Ovo je jedina pijaca ovog tipa i predstavlja regionalni centar za distribuciju voća i povrća na veliko. Prostor je neadekvatan, jer objekat nije namjenski pravljen i ne odgovara potrebama zakupaca. </w:t>
      </w: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 xml:space="preserve">Pijace mogu podstaći lokalnu poljoprivredu i proizvodnju, povećavajući prodaju lokalnih proizvoda. Izgradnja nove pijace, koja bi imala adekvatne uslove za skladištenje i prodaju voća i povrća, ali i drugih proizvoda, u narednom periodu bi povećala broj i prodavaca i kupaca, što bi mogao biti motiv i za veću proizvodnju, obzirom da je plasman jedan od problema proizvođača. Izgradnja nove pijace predstavlja modernizaciju infrastrukture, unaprjeđuje se izgled i funkcionalnost gradskog prostora, a prije svega se stvaraju uslovi za kvalitetniju pijačnu uslugu. Ova pijaca ima dodatni značaj, upravo zbog snabdijevanja ostalih pijačnih objekata. Izgradnja novog objekta i uređenje shodno potrebama zakupaca, sa adekvatnom infrastrukturom, kao što su pristupni putevi, uređen radni prostor, voda, kvalitetno snabdijevanje električnom energijom i drugo, povećava privlačnost pijace za zakupce, ali i kupce, što može dovesti do povećanja prihoda od zakupa i drugih usluga. Bolji uslovi potencijalno povećavaju vrijednost prostora za zakupce, što može rezultirati višim zakupninama i dugoročnim ugovorima o zakupu. Fleksibilni uslovi zakupa, prednost je za prodavce, jer im pruža mogućnost nižih troškova za zakup. Privredno preduzeće “Tržnice i pijace” d.o.o. Podgorica potencijalno, može pružiti i druge usluge, koje mogu biti dodatni izvor prihoda. </w:t>
      </w:r>
    </w:p>
    <w:p w:rsidR="00E944C2" w:rsidRDefault="00F7666C" w:rsidP="00E36C81">
      <w:pPr>
        <w:pStyle w:val="Normal1"/>
        <w:spacing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Zapošljavanje će se pospješiti stvaranjem novih radnih mjesta, kako direktno, tako i indirektno, kroz angažovanje poljoprivrednih proizvođača i preduzeća-zakupaca. Kamionska pijaca ima tržišni potencijal da postane regionalni i državni centar trgovine, što dodatno povećava njenu ekonomsku važnost. Usklađivanje sa pravnim i regulatornim okvirima omogućava pružanje pijačnih usluga u skladu sa propisima, posebno u oblasti bezbjednog načina prodaje hrane. Novoizgrađeni, namjenski objekat postavlja temelje za kvalitetno obavljanje osnovne djelatnosti – održavanje higijene na pijacama. Korišćenje održive energije kroz instalaciju solarnih panela i upotrebu obnovljivih izvora energije dodatno doprinosi ekološkoj održivosti projekta. Reciklaža i upravljanje otpadom bi uključivali sadržaje kao što su selekcija otpada i prostor za kompostiranje, što ne samo da štiti životnu sredinu već potencijalno povećava prihode i smanjuje troškove.  Strateški ciljevi i prioriteti obuhvataju ekonomski razvoj, kroz podršku lokalnim proizvođačima obezbjeđivanjem prostora za prodaju po povoljnijim uslovima, stvaranje novih poslovnih prilika i povećanje prihoda za sve učesnike u lancu snabdijevanja. Promocija zdravog tržišnog takmičenja može dovesti do poboljšanja kvaliteta i smanjenja cijena proizvoda. Digitalizacija kroz kreiranje online platforme i razvoj digitalnog marketinga omogućava prodaju proizvoda sa pijace na savremen način. Poboljšanje infrastrukture uključuje izgradnju nove pijace sa modernim skladištima, hladnjačama i pratećim objektima, što omogućava bolju kontrolu kvaliteta i smanjenje kvarljivosti proizvoda. Zaštita životne sredine i održivi razvoj se ostvaruju kroz uvođenje reciklažnih programa i ekološki prihvatljivih praksi u upravljanju otpadom te promocijom proizvodnje i prodaje organskih i održivo proizvedenih poljoprivrednih proizvoda, što dodatno unapređuje ekološku održivost projekta.</w:t>
      </w:r>
    </w:p>
    <w:p w:rsidR="00E944C2" w:rsidRDefault="00F7666C" w:rsidP="00E36C81">
      <w:pPr>
        <w:pStyle w:val="Normal1"/>
        <w:numPr>
          <w:ilvl w:val="0"/>
          <w:numId w:val="19"/>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Autopijaca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nema autopijacu kojom upravlja lokalna samouprava. Postoje brojni nelegalno formirani neregistrovani placevi za prodaju automobila, koji se najčešće nalaze na zelenim površinama. Potencijalni nedostaci budućeg projekta uključuju nedovoljan broj zakupaca-prodavaca vozila, jer se nekadašnji koncept pojedinačne prodaje sopstvenih vozila sveo na minimum ili izgubio. Prodavci su uglavnom preduzetnici sa više vozila, pa je upitno da li im je isplativo svakodnevno plaćati zakup za više vozila i da li im je interesantan koncept “zajedničkog placa”. Preduzeće “Tržnice i pijace” ne bi moglo ostvariti rentabilnost ove pijace, jer je nemoguće definisati cijenu zakupa koja bi pokrila sve troškove. Ova pijaca bi morala imati izuzetno obezbjeđenje, kako tehničko tako i fizičko, zbog vrste robe koja bi se tu prodavala, a neophodno je i osiguranje objekta i vozila. Eventualne štete bi se teško utvrđivale, jer bi to značilo kompletan pregled i fotografisanje svakog vozila pri ulasku, što je nemoguće. Ovu vrstu pijace, “Tržnice i pijace” bi mogle održavati isključivo uz kontinuiranu finansijsku pomoć Glavnog grada. Potencijali valorizacije uključuju modernizaciju infrastrukture, kreiranje online platforme i razvoj digitalnog marketinga. Online promocija ponude, korišćenje društvenih mreža i online oglašavanja može privući veći broj posjetilaca i prodavaca te potencijalno donijeti dodatne prihode za privredno društvo. Projektom bi se predvidjeli dodatni usluge i sadržaji poput auto servisa, vulkanizerske radnje, perionice automobila, osiguranja vozila, tehničkog pregleda, kafeterije i drugih objekata, koji bi se davali u zakup i ostvarivali prihod, a zakupcima i građanima pružali cjelokupnu uslugu. Organizacija tematskih sajmova, aukcija i sličnih događaja mogla bi privući dodatne posjetioce. Strateški ciljevi i prioriteti obuhvataju poboljšanje infrastrukture kroz razvoj moderne i efikasne infrastrukture koja podržava trgovinu polovnim vozilima, uključujući pristupne puteve, parkinge i druge potrebne objekte, uklanjanje nelegalnih i neregistrovanih placeva te sprječavanje zauzimanja i uništavanja zelenih površina. Povećanje prihoda bi se ostvarilo kroz prihode preduzeća koje bi gazdovalo pijacom i generisanje prihoda za lokalnu samoupravu kroz naknade, poreze i druge izvore prihoda povezane sa radom autopijace. Poboljšanje usluga za građane uključuje pružanje lakog pristupa informacijama, uslugama pregleda i registracije vozila na jednom mjestu.</w:t>
      </w:r>
    </w:p>
    <w:p w:rsidR="00E944C2" w:rsidRDefault="00F7666C" w:rsidP="00316155">
      <w:pPr>
        <w:pStyle w:val="Heading3"/>
        <w:jc w:val="both"/>
      </w:pPr>
      <w:bookmarkStart w:id="102" w:name="_Toc212039581"/>
      <w:r>
        <w:t>3.5.7. Infrastruktura i upravljanje grobljima</w:t>
      </w:r>
      <w:bookmarkEnd w:id="102"/>
    </w:p>
    <w:p w:rsidR="00E944C2" w:rsidRDefault="00E944C2" w:rsidP="00316155">
      <w:pPr>
        <w:pStyle w:val="Normal1"/>
        <w:jc w:val="both"/>
      </w:pPr>
    </w:p>
    <w:p w:rsidR="00E944C2" w:rsidRDefault="00F7666C" w:rsidP="00E36C81">
      <w:pPr>
        <w:pStyle w:val="Normal1"/>
        <w:spacing w:after="200" w:line="360" w:lineRule="auto"/>
        <w:jc w:val="both"/>
        <w:rPr>
          <w:rFonts w:ascii="Times New Roman" w:eastAsia="Times New Roman" w:hAnsi="Times New Roman" w:cs="Times New Roman"/>
          <w:sz w:val="24"/>
          <w:szCs w:val="24"/>
        </w:rPr>
      </w:pPr>
      <w:r>
        <w:rPr>
          <w:rFonts w:ascii="Times New Roman" w:eastAsia="Times New Roman" w:hAnsi="Times New Roman" w:cs="Times New Roman"/>
          <w:color w:val="000000"/>
          <w:sz w:val="24"/>
          <w:szCs w:val="24"/>
        </w:rPr>
        <w:t>“Pogrebne usluge” d.o.o. Podgorica sa dugogodišnjim iskustvom i posvećenošću pruža usluge našim sugrađanima u najtežim trenucima. Kontinuirano rade na unapređenju naših usluga i infrastrukture kako bismo ispunili sve potrebe i očekivanja korisnika.Prepoznajući potrebu za modernizacijom i unapređenjem, preduzet je niz inicijativa koje su usmjerene ka poboljšanju kvaliteta usluga.Izgradnja Novog gradskog groblja na Ćemovskom polju ima  za cilj da odgovori na rastuće potrebe stanovništva Podgorice, pruži modernu i održivu infrastrukturu za pogrebne usluge, te poboljša kvalitet i kapacitet postojećih grobalja u gradu. Ključni ciljevi su povećanje kapaciteta za ukop, modernizacija pogrebnih usluga, uvođenje savremenih metoda ukopa i kremacije, estetsko i ekološko uređenje, dizajniranje prostora sa fokusom na estetsku privlačnost i očuvanje prirodnog okruženja, pristupačnost i funkcionalnost,objekti i infrastruktura koji omogućavaju lak pristup i korišćenje, uključujući prilazne puteve i parking prostore, osiguravajući dostupnost  svim građanima, uključujući osobe sa invaliditetom. Broj novih grobnih mjesta, kvalitet usluga(sahrane, kremacije, ceremonije),  estetsko i ekološko stanje, troškovi izgradnje i održavanja groblja u odnosu na budžet, prihodi ostvareni od pruženih usluga su indikatori čijim praćenjem se omogućava evaluacija uspješnosti projekta i osigurava da groblje dugoročno zadovoljava potrebe zajednice.“Pogrebne usluge” d.o.o. Podgorica, osluškujući potrebe građana, trenutno je u fazi prikupljanja informacija o potrebnim dozvolama i regulativama, izrade predstudije izvodljivosti i pripreme za sledeće korake projekta izgradnje krematorijuma. Cilj je stvaranje moderne, ekološki održive i ekonomski isplative investicije koja zadovoljava potrebe lokalne zajednice za uslugama kremacije, uz poštovanje svih kulturnih i civilizacijskih normi.Ovaj projekat teži da osigura visok standard kvaliteta i sigurnosti i da doprinese očuvanju životne sredine. Vjerujemo da će  krematorijum biti značajan doprinos kako lokalnoj zajednici tako i širem društvenom okruženju, pružajući neophodne usluge na najvišem nivou.Društvo je u fazi prikupljanja informacija i pokretanja inicijative za osnivanje groblja za kućne ljubimce. Ključni cilj pokretanja ove inicijative je izgraditi funkcionalno groblje za kućne ljubimce koje će pružiti kvalitetne usluge vlasnicima kućnih ljubimaca.</w:t>
      </w:r>
    </w:p>
    <w:p w:rsidR="00E944C2" w:rsidRDefault="00F7666C" w:rsidP="00E36C81">
      <w:pPr>
        <w:pStyle w:val="Normal1"/>
        <w:spacing w:after="200" w:line="360" w:lineRule="auto"/>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"Pogrebne usluge" d.o.o. Podgorica, planiranjem ozelenjavanja grobalja “Čepurci” i “Zagorič”, rade na poboljšanju ekološkog, estetskog i funkcionalnog kvaliteta prostora. Ova inicijativa uključuje stvaranje prijatnijeg okruženja za posjetioce, kao i stvaranje zelenih površina koje mogu pomoći u smanjenju temperature u ljetnim mjesecima i povećanju kvaliteta vazduha kroz smanjenje prisustva prašine i drugih zagađivača.Pored ozelenjavanja, preduzeće radi  na ugradnji solarnih panela s ciljem smanjenja energetske potrošnje i troškova za električnu energiju na Novom gradskom groblju na Ćemovskom polju. Glavni cilj ovog projekta je instalacija solarnih panela na pratećem objektu i objektu kapela lociranim u centralnom dijelu lokacije groblja. Izlazni indikatori projekta uključuju uspješnu instalaciju solarnih panela, smanjenje troškova za električnu energiju, te proizvodnju najmanje 40% ukupne potrošnje električne energije objekata pomoću solarnih panela.</w:t>
      </w:r>
    </w:p>
    <w:p w:rsidR="00E944C2" w:rsidRDefault="00F7666C" w:rsidP="00316155">
      <w:pPr>
        <w:pStyle w:val="Heading3"/>
        <w:jc w:val="both"/>
      </w:pPr>
      <w:bookmarkStart w:id="103" w:name="_Toc212039582"/>
      <w:r>
        <w:t>3.5.8.  Razvoj vatrogasne infrastrukture</w:t>
      </w:r>
      <w:bookmarkEnd w:id="103"/>
    </w:p>
    <w:p w:rsidR="00E944C2" w:rsidRDefault="00E944C2" w:rsidP="00E36C81">
      <w:pPr>
        <w:pStyle w:val="Normal1"/>
        <w:spacing w:line="360" w:lineRule="auto"/>
        <w:jc w:val="both"/>
        <w:rPr>
          <w:rFonts w:ascii="Times New Roman" w:eastAsia="Times New Roman" w:hAnsi="Times New Roman" w:cs="Times New Roman"/>
          <w:b/>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Neophodno je što prije započeti proces formiranja vatrogasnih ispostava, koje će biti aktivne tokom čitave godine, kao i vatrogasnih punktova, koji će djelovati u određenim vremenskim periodima. Ovi koraci su ključni za osiguranje efikasne, efektivne i ekonomski opravdane zaštite građana i njihove imovine, u skladu sa principima modela javne uprave 3E, karakterističnog za modernu javnu upravu.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Za realizaciju ovog projekta, potrebno je prvo identifikovati i odrediti parcele u vlasništvu Glavnog grada koje se nalaze na strateškim lokacijama u gradskim naseljima. Dodjela ovih parcela za izgradnju vatrogasnih objekata predstavlja racionalan i strateški potez, kojim gradska uprava direktno ulaže u povećanje nivoa zaštite svojih građana, njihove imovine i kulturnih dobara, što je jedan od ključnih prioriteta.Pored toga, postoji mogućnost realizacije izgradnje vatrogasnih objekata kroz projekte koji bi bili finansirani od strane Evropske unije, što bi trebalo da postane jedan od ključnih prioriteta za projektne timove na nivou lokalne samouprave. Takođe, kao dodatna opcija, može se razmotriti angažovanje privatnog sektora kroz modele javno-privatnog partnerstva ili druge slične pristupe. U tom kontekstu, uspješni pojedinci i kompanije iz privatnog sektora mogu biti motivisani da učestvuju u izgradnji vatrogasnih objekata, uz mogućnost sticanja određenih pogodnosti prilikom razvoja vlastitih građevinskih projekata u specifičnim dijelovima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Uzimajući u obzir prethodno navedene potrebe i strateške ciljeve, predlaže se uspostavljanje adekvatnih vatrogasnih ispostava na ključnim lokacijama unutar Glavnog grada. Preporučuje se formiranje stalne vatrogasne ispostave u dijelu grada preko Morače, sa potencijalnim lokacijama na prostoru bivših fabrika "Radoje Dakić" ili "Elastik", kao i na prostoru Sadina, gdje postoji parcela u vlasništvu Glavnog grada. Ova ispostava bi bila opremljena sa minimalno šest vatrogasaca, koji bi opsluživali tri navalna vozila, čime bi se osigurala adekvatna pokrivenost ovog dijela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Dodatno, preporučuje se formiranje druge stalne vatrogasne ispostave u blizini Hitne medicinske pomoći, idealno na prostoru nekadašnje kasarne "Morača". Ova ispostava bi raspolagala sa dva vozila – autolestvom i manjim navalnim vozilom (opciono vatrogasnim kombijem), što bi omogućilo efikasne intervencije u području Stare Varoši i drugim teško pristupačnim dijelovima grada. Pozicioniranje autolestve na ovoj lokaciji omogućilo bi brzu dostupnost urbanim dijelovima grada s obje strane Morače, dok bi manje vozilo bilo zaduženo za pružanje brzog odgovora u zahtjevnim, teško pristupačnim dijelovima gradskog jezgra. Ovu ispostavu bi opsluživala tri vatrogasca-spasioca, čime bi se osigurala potrebna operativna spremnost.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stalnih ispostava, predlaže se formiranje vatrogasnih punktova koji bi bili aktivni tokom ljetnje požarne sezone na najmanje tri lokacije u prigradskim naseljima, kao što su Zelenika, Zlatica i Gornja Gorica. Svaki punkt bi bio opremljen jednim navalnim vozilom i opslužen sa dva vatrogasca-spasioca angažovana na određeno vrijeme. Ovi punktovi bi, u skladu sa budućim potrebama i resursima, mogli prerasti u stalne vatrogasne ispostave, čime bi se dodatno unaprijedila operativna sposobnost i efikasnost Službe zaštite i spašavanja.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Kako bi se postigli ovi strateški ciljevi, neophodno je povećati broj operativnog osoblja. Sadašnji broj od 72 operativca, raspoređenih u četiri operativna odjeljenja, treba povećati za ukupno 16 vatrogasaca, odnosno četiri po odjeljenju, čime bi se ukupan broj operativaca povećao na 88. Ovo povećanje bi omogućilo adekvatno funkcionisanje Službe u obavljanju redovnih aktivnosti i suočavanju sa izazovima na terenu.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potrebno je izvršiti nabavku specijalizovanih vatrogasnih vozila i prateće opreme, uključujući autolestvu, navalno vozilo sa duplom kabinom za šest vatrogasaca, vozilo za intervencije u hemijskim incidentima, kao i vozilo za intervencije u saobraćajnim nesrećama. Ova oprema je ključna za unapređenje operativnih kapaciteta i efikasnost odgovora na sve vrste hazarda.</w:t>
      </w:r>
    </w:p>
    <w:p w:rsidR="00E944C2" w:rsidRDefault="00F7666C" w:rsidP="00316155">
      <w:pPr>
        <w:pStyle w:val="Heading3"/>
        <w:jc w:val="both"/>
      </w:pPr>
      <w:bookmarkStart w:id="104" w:name="_Toc212039583"/>
      <w:r>
        <w:t>3.5.9. Zaštita životne sredine i održivi razvoj</w:t>
      </w:r>
      <w:bookmarkEnd w:id="104"/>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Dugoročno očuvanje životne sredine odnosno razvoj na principima održivosti zahtjeva primjenu niza mehanizama, prvenstveno legislativnih, a koji se odnose na sve oblasti čovjekovog djelovanja, među kojima se, s obzirom na uticaj koji imaju na kvalitet sredine u kojoj živimo, izdvajaju upravljanje otpadom, saobraćaj, izgradnja objekata i prateće infrastrukture, uspostavljanje i upravljanje zaštićenim prirodnim područjima, a svakako i lični doprinos pojedinca u smislu odgovornog odnosa prema segmentima životne sredine. U tom smislu, a imajući u vidu prepoznate probleme u životnoj sredini, definisani su najznačajnije, svakako podložne daljoj razradi, aktivnosti u pravcu njihovog prevazilaženja.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Zaštita životne sredine i održivi razvoj su ključni za modernizaciju Podgorice, sa naglaskom na usklađivanje sa EU direktivama i ciljevima održivog razvoja. S obzirom da se grad svakodnevno širi, a samim tim i potreba za dodatnim određivanjem novih mikrolokacija na kojima će se postavljati posude, svakako se javlja potreba za nabavkom novih modernijih posuda i vozila za pražnjenje posuda za odlaganje komunalnog otpada bilo polupodzemnih ili običnih metalnih posuda.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Međutim i pored svih obezbijeđenih uslova i dalje postoje pojedinci koji narušavaju izgled i stanje pojedinih prostora u gradu, što imlicira da će se povećanim inspekcijskim nadzorom i adekvatnim kaznama i ovi slučajevi iskorijeniti. Sve nelegalne radnje sa kojima se privredno preduzeće “Čistoća” susreće na terenu upućuje se Upravi za inspekcijske poslove na dalje postupanje.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tokom narednog perioda, planira se razvoj informacionih sistema u preduzeću “Čistoća” d.o.o., na način što će se adekvatnim softverskim rješenjima podići nivo funkcionisanja Društva, uzimajući u obzir i činjenicu da se planira izgradnja novog kompleksa „Čistoća“ d.o.o. kada sve navedeno može biti implementirano. Podsjećamo da građani mogu vršiti plaćanje svojih mjesečih računa putem web sajta Društva, kao i dobiti sve neophodne informacije.</w:t>
      </w:r>
    </w:p>
    <w:p w:rsidR="00E944C2" w:rsidRDefault="00F7666C" w:rsidP="00316155">
      <w:pPr>
        <w:pStyle w:val="Heading3"/>
        <w:jc w:val="both"/>
      </w:pPr>
      <w:bookmarkStart w:id="105" w:name="_Toc212039584"/>
      <w:r>
        <w:t>3.5.10. Mitigacija i adaptacija na klimatske promjene</w:t>
      </w:r>
      <w:bookmarkEnd w:id="105"/>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Podgorica će sprovoditi mjere adaptacije i mitigacije na klimatske promjene u skladu sa Akcionim planom za održivu energiju i klimatske promjene (SECAP), čije se usvajanje očekuje. SECAP predstavlja osnovnu inicijativu koja stremi ka harmonizaciji ekoloških ciljeva sa ekonomskim razvojem i socijalnom inkluzijom. Ovaj plan naglašava važnost integracije različitih sektora i aktera u procesu donošenja odluka, promovišući transparentnost i odgovornost. Kroz promovisanje obnovljivih izvora energije, efikasnosti u potrošnji i inovativnih tehnologija, SECAP teži da postavi temelje za niskokarbonsku ekonomiju. Uzimajući u obzir lokalne specifičnosti i potrebe, plan se fokusira na prilagođavanje infrastrukture i zajednica kako bi se umanjili rizici povezani sa klimatskim promjenama, istovremeno osiguravajući da svi segmenti društva imaju koristi od ovih promjena. Ovakav pristup ne samo da doprinosi globalnim naporima u borbi protiv klimatskih promjena, već i podstiče održivi razvoj, jača lokalne ekonomije i unapređuje kvalitet života građana. SECAP za Podgoricu odražava posvećenost opštine Sporazumu gradonačelnika, ističući ulogu grada u globalnoj energetskoj tranziciji i ublažavanju klimatskih promjena. Plan simbolizuje političku i stratešku namjeru Podgorice da kontinuirano poboljšava ekološke, ekonomske i socijalne uslove svojih građana kroz promociju energetske efikasnosti, dekarbonizacije i mjera prilagođavanja klimatskim promjenama.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cilj SECAP-a je postizanje smanjenja emisija CO2 za najmanje 40% do 2030. godine u odnosu na referentnu 2019. godinu. Ovaj cilj je u skladu sa misijom doprinosa ograničenju globalnog povećanja temperature na dobro ispod 2°C, u skladu sa međunarodnim klimatskim sporazumom postignutim na COP21 u Parizu u decembru 2015. godine.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Ublažavanje: Primjena mjera za smanjenje direktnih i indirektnih emisija CO2 preko sektora, uključujući infrastrukturu zgrada, javnu rasvjetu i transport. Plan predlaže sveobuhvatan skup mjera ublažavanja dizajniranih da postignu sveobuhvatni cilj smanjenja emisija.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Prilagođavanje: Adresiranje ranjivosti i rizika povezanih sa uticajima klimatskih promjena kroz ciljane mjere prilagođavanja preko različitih sektora kao što su infrastruktura, upravljanje vodama, turizam, poljoprivreda, šumarstvo, prirodni resursi i zdravlje.</w:t>
      </w:r>
    </w:p>
    <w:p w:rsidR="00E944C2" w:rsidRDefault="00F7666C" w:rsidP="00316155">
      <w:pPr>
        <w:pStyle w:val="Heading3"/>
        <w:jc w:val="both"/>
      </w:pPr>
      <w:bookmarkStart w:id="106" w:name="_Toc212039585"/>
      <w:r>
        <w:rPr>
          <w:rFonts w:eastAsia="Calibri"/>
          <w:szCs w:val="22"/>
        </w:rPr>
        <w:t xml:space="preserve">3.5.11. </w:t>
      </w:r>
      <w:r>
        <w:t>Upravljanje otpadom i reciklaža</w:t>
      </w:r>
      <w:bookmarkEnd w:id="106"/>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Predlažući projekte, "Deponija" d.o.o. implementira koncept održivog razvoja, prepoznajući otpad kao vrijedan resurs koji može biti upotrijebljen za generisanje dodatnih koristi. Ovaj pristup omogućava:</w:t>
      </w:r>
    </w:p>
    <w:p w:rsidR="00E944C2" w:rsidRDefault="00F7666C" w:rsidP="00E36C81">
      <w:pPr>
        <w:pStyle w:val="Normal1"/>
        <w:numPr>
          <w:ilvl w:val="0"/>
          <w:numId w:val="19"/>
        </w:numPr>
        <w:spacing w:after="0" w:line="360" w:lineRule="auto"/>
        <w:jc w:val="both"/>
        <w:rPr>
          <w:color w:val="000000"/>
          <w:sz w:val="24"/>
          <w:szCs w:val="24"/>
        </w:rPr>
      </w:pPr>
      <w:r>
        <w:rPr>
          <w:rFonts w:ascii="Times New Roman" w:eastAsia="Times New Roman" w:hAnsi="Times New Roman" w:cs="Times New Roman"/>
          <w:color w:val="000000"/>
          <w:sz w:val="24"/>
          <w:szCs w:val="24"/>
        </w:rPr>
        <w:t>Spaljivanje otpada: Proces spaljivanja otpada omogućava proizvodnju električne i toplotne energije, čime se doprinosi energetskoj efikasnosti i smanjuje potreba za fosilnim gorivima.</w:t>
      </w:r>
    </w:p>
    <w:p w:rsidR="00E944C2" w:rsidRDefault="00F7666C" w:rsidP="00E36C81">
      <w:pPr>
        <w:pStyle w:val="Normal1"/>
        <w:numPr>
          <w:ilvl w:val="0"/>
          <w:numId w:val="19"/>
        </w:numPr>
        <w:spacing w:after="0" w:line="360" w:lineRule="auto"/>
        <w:jc w:val="both"/>
        <w:rPr>
          <w:color w:val="000000"/>
          <w:sz w:val="24"/>
          <w:szCs w:val="24"/>
        </w:rPr>
      </w:pPr>
      <w:r>
        <w:rPr>
          <w:rFonts w:ascii="Times New Roman" w:eastAsia="Times New Roman" w:hAnsi="Times New Roman" w:cs="Times New Roman"/>
          <w:color w:val="000000"/>
          <w:sz w:val="24"/>
          <w:szCs w:val="24"/>
        </w:rPr>
        <w:t>Tretman pneumatika: U zavisnosti od primijenjene metode tretmana pneumatika – mehaničkog drobljenja ili pirolize – proizvedeni materijali mogu se koristiti u građevinskoj industriji. Mehaničko tretiranje omogućava proizvodnju granulata koji se mogu koristiti za izradu tartan staza, zvučnih izolacija i drugih građevinskih elemenata. Piroliza omogućava proizvodnju tečnog goriva, gasa i ugljenog praha, koji imaju široku primjenu u industriji.</w:t>
      </w:r>
    </w:p>
    <w:p w:rsidR="00E944C2" w:rsidRDefault="00F7666C" w:rsidP="00E36C81">
      <w:pPr>
        <w:pStyle w:val="Normal1"/>
        <w:numPr>
          <w:ilvl w:val="0"/>
          <w:numId w:val="19"/>
        </w:numPr>
        <w:spacing w:after="0" w:line="360" w:lineRule="auto"/>
        <w:jc w:val="both"/>
        <w:rPr>
          <w:color w:val="000000"/>
          <w:sz w:val="24"/>
          <w:szCs w:val="24"/>
        </w:rPr>
      </w:pPr>
      <w:r>
        <w:rPr>
          <w:rFonts w:ascii="Times New Roman" w:eastAsia="Times New Roman" w:hAnsi="Times New Roman" w:cs="Times New Roman"/>
          <w:color w:val="000000"/>
          <w:sz w:val="24"/>
          <w:szCs w:val="24"/>
        </w:rPr>
        <w:t>Pretvaranje deponijskog gasa: Korišćenje deponijskog gasa sa sanitarnih kada br. 2 i br. 3 za proizvodnju električne energije omogućava pokrivanje sopstvenih potreba za energijom, dok višak energije može biti upotrebljen za napajanje oko 400 domaćinstava, čime se doprinosi lokalnoj energetskoj samoodrživosti.</w:t>
      </w:r>
    </w:p>
    <w:p w:rsidR="00E944C2" w:rsidRDefault="00F7666C" w:rsidP="00E36C81">
      <w:pPr>
        <w:pStyle w:val="Normal1"/>
        <w:numPr>
          <w:ilvl w:val="0"/>
          <w:numId w:val="19"/>
        </w:numPr>
        <w:spacing w:line="360" w:lineRule="auto"/>
        <w:jc w:val="both"/>
        <w:rPr>
          <w:color w:val="000000"/>
          <w:sz w:val="24"/>
          <w:szCs w:val="24"/>
        </w:rPr>
      </w:pPr>
      <w:r>
        <w:rPr>
          <w:rFonts w:ascii="Times New Roman" w:eastAsia="Times New Roman" w:hAnsi="Times New Roman" w:cs="Times New Roman"/>
          <w:color w:val="000000"/>
          <w:sz w:val="24"/>
          <w:szCs w:val="24"/>
        </w:rPr>
        <w:t>Prerada građevinskog otpada: Izgradnjom postrojenja za preradu građevinskog otpada stvara se mogućnost za proizvodnju materijala koji može služiti kao kvalitetna podloga ili tampon u građevinskoj industriji, čime se smanjuje potreba za novim sirovinama i doprinosi održivom razvoju infrastrukture.</w:t>
      </w:r>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Kako bi se prilagodila brzom tehnološkom razvoju u oblasti upravljanja otpadom, potrebno je proširiti nadležnosti lokalne samouprave. Tehnološki napredak i uvođenje novih metoda upravljanja otpadom zahtijevaju fleksibilniji pristup kako bi se osigurala efikasna implementacija i adaptacija lokalnih rješenja. Trenutni proces izmjena i dopuna zakona i drugih propisa često se pokazuje kao spor i birokratski zahtjevan, što može usporiti investicioni razvoj i implementaciju savremenih tehnologija na lokalnom nivou. Kao rezultat, lokalne samouprave trebaju imati proširene nadležnosti koje će im omogućiti brže usvajanje i primjenu novih tehnologija, bolju prilagodbu zakonodavnim promjenama i efikasnije upravljanje lokalnim resursima.</w:t>
      </w:r>
    </w:p>
    <w:p w:rsidR="00E944C2" w:rsidRDefault="00F7666C" w:rsidP="00E36C81">
      <w:pPr>
        <w:pStyle w:val="Normal1"/>
        <w:spacing w:before="280" w:after="28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narednom periodu, u cilju unaprijeđenja upravljanja otpadom i zaštite životne sredine u Glavnom gradu potrebno je nastaviti aktivnosti sistemskim djelovanjem, kroz obezbjeđenje nedostajuće infrastrukture, jačanje upravljačkih kapaciteta, unaprijeđenje procesa manipulacije otpadom, unaprijeđenje informisanosti o značaju adekvatnog upravljanje otpadom, prevencijom njegovog stvaranja i uvođenjem savremenih tehnologija za njegovu ponovnu upotrebu. Jedna od ključnih aktivnosti na unaprijeđenju postojećeg stanja, osim edukacije građana jeste i pojačan inspekcijski i komunalni nadzor.</w:t>
      </w:r>
    </w:p>
    <w:p w:rsidR="00E944C2" w:rsidRDefault="00F7666C" w:rsidP="00316155">
      <w:pPr>
        <w:pStyle w:val="Heading3"/>
        <w:jc w:val="both"/>
      </w:pPr>
      <w:bookmarkStart w:id="107" w:name="_Toc212039586"/>
      <w:r>
        <w:t>3.5.12.  Kvalitet segmenata životne sredine</w:t>
      </w:r>
      <w:bookmarkEnd w:id="107"/>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dominante izvore pritisaka na kvalitet segmenata životne sredine, kao prioritne aktivnosti u pravcu njihovog očuvanja i unapređenja izdvajaju se intenzivno poboljšanje javnog transporta i smanjenje korišćenja individualnih vozila, inovativniji pristupi planiranju prostora, povećanje korišćenja obnovljivih izvora energije, ublažavanje posljedica klimatskih promjena, unapređenje sistema upravljanja otpadom, unapređenje sistema za prečišćavanje otpadnih voda i edukativno-promotivne aktivnosti. Preciznije, navedeno se odnosi na uspostavljanje infrastrukture za alternativne vidove saobraćaja, proširenje i unapređenje javnih zelenih površina, implementacija zelene infrastrukture poput zelenih krovova, zidova i nadstrešnica, razmatranje mogućnosti za uspostavljanje novih zaštićenih prirodnih područja, povećanje stepena energetske efikasnosti, u smislu unapređenja energetskih karakteristika zgrada u vlasništvu i korišćenju Glavnog grada, integrisanje smjernica za očuvanje biodiverziteta u razvojna dokumenta, razmatranje mogućnosti za proširenje lokalnog monitoringa segmenata životne sredine, priprema projektnih aplikacija za finansiranje iz međunarodnih fondova, nastavak implementacije aktivnosti u okviru međunarodnih inicijativa koje se direktno i indirektno odnose na temu očuvanja životne sredine.</w:t>
      </w:r>
    </w:p>
    <w:p w:rsidR="00E944C2" w:rsidRDefault="00F7666C" w:rsidP="00316155">
      <w:pPr>
        <w:pStyle w:val="Heading3"/>
        <w:jc w:val="both"/>
      </w:pPr>
      <w:bookmarkStart w:id="108" w:name="_Toc212039587"/>
      <w:r>
        <w:t>3.5.13. Zaštita prirode i upravljanje zaštićenim područjima</w:t>
      </w:r>
      <w:bookmarkEnd w:id="108"/>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Unapređenje upravljanja nacionalnim parkovima i drugim zaštićenim područjima je prioritet u oblasti zaštite prirode.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 prirode "Komovi" posjeduje izuzetan potencijal zahvaljujući svojim jedinstvenim prirodnim karakteristikama. Ovaj prostor obuhvata dva jezera, Bukumirsko i Rikavačko, kao i spektakularne planine i krajolike. Međutim, trenutno ga posjećuju samo rijetki entuzijasti željni netaknute prirode. Na ovom području živi vrlo malo stalnih stanovnika, a postoji minimalan broj ugostiteljskih objekata i smještajnih kapaciteta za turiste. Iako postoji interesovanje investitora za izgradnju smještajnih kapaciteta, nedostatak prostornih planova onemogućava izdavanje građevinskih dozvola, što otežava legalno poslovanje. Bukumirsko jezero postaje sve popularnija destinacija za vikend posjete stanovnika Podgorice i turista, ljubitelja netaknute prirode. S druge strane, Rikavačko jezero, iako jednako atraktivno, teže je dostupno i do njega se može stići samo pješačenjem ili terenskim vozilom. Turisti ga uglavnom posjećuju individualno ili kroz džip ture organizovane od strane turističkih agencija. Okolne planine privlače sve veći broj ljubitelja planinarenja, ali problem ostaje u nedostatku turističke infrastrukture, stalnog stanovništva i loše putne mreže na ovom prostranom području. Strateški ciljevi razvoja Parka prirode "Komovi," obuhvataju nekoliko ključnih prioriteta. Prvi cilj je obezbjeđenje stabilnog signala mobilne telefonije na prostorima oko Bukumirskog i Rikavačkog jezera, čime će se unaprijediti sigurnost posjetilaca i omogućiti lakša komunikacija u ovim udaljenim područjima. Drugi cilj je poboljšanje saobraćajne infrastrukture u Parku. Planirane aktivnosti uključuju preduzimanje mjera za sprječavanje odronjavanja puta ispod Treskavca, asfaltiranje i proširenje puta kroz Verušu, asfaltiranje puta od Mokre do Širokara, kao i popravku makadamskih puteva koji vode od glavnog puta do Bukumirskog i Rikavačkog jezera. Ovi radovi će značajno unaprijediti pristupnost i sigurnost u Parku. Treći cilj je poboljšanje turističke infrastrukture. Planirano je postavljanje informativnog pulta pored Bukumirskog jezera, izrada prototipa glade, kao i uređenje vidikovaca i izletničkih mjesta. Ove aktivnosti će doprinijeti boljem iskustvu posjetilaca, promovisanju turističkog potencijala parka, uz očuvanje njegovih prirodnih vrijednosti. Pored već navedenih strateških ciljeva, za sveobuhvatan razvoj i turističku valorizaciju Parka prirode "Komovi" neophodno je izgraditi ugostiteljske i smještajne objekte u skladu sa zakonskim propisima i poštovanjem zaštitnih standarda područja. Izgradnja ovih objekata omogućila bi bolju uslugu posjetiteljima i povećalo turistički potencijal Parka. Takođe, razvoj stočarstva na ovom području predstavlja ključnu komponentu za očuvanje prirodnih vrijednosti i održavanje ekološke ravnoteže. Implementacija stočarskih praksi, usklađenih sa principima zaštite prirode, mogla bi značajno doprinijeti očuvanju tradicije i biodiverziteta. Osim što bi ovo unaprijedilo ekološke uslove, razvijenije stočarstvo bi moglo poboljšati turističku ponudu kroz promociju "katunskog turizma", koji je već na zavidnom nivou u drugim djelovima naše zemlje. Ovaj pristup bi omogućio posjetiteljima da dožive autentičnu ruralnu sredinu i dodatno obogati turističku ponudu Parka prirode "Komovi" na teritoriji Glavnog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 prirode "Rijeka Zeta" predstavlja područje sa velikim potencijalom koje zaslužuje daleko bolju valorizaciju. Trenutno, na ovom prostoru postoji značajan pritisak stambene gradnje, pri čemu mnogi objekti koji su u početku bili nelegalno izgrađeni kasnije dobijaju potrebne dozvole. Ukoliko se stambeni objekti nastave širiti na ovom prostoru, biće gotovo nemoguće izraditi i sprovesti bilo kakve strateške planove za zaštitu i održivi razvoj područja. Rijeka Zeta sa svojom okolinom nudi idealne uslove za izlete, kajakanje i druge rekreativne aktivnosti koje bi mogle biti u skladu sa očuvanjem prirodnog ambijenta. Ove aktivnosti bi mogle značajno doprinijeti razvoju ekoturizma i promociji ovog područja, bez narušavanja njegovih prirodnih vrijednosti. Stoga je neophodno da se ulože napori u očuvanje i održivu valorizaciju Parka prirode "Rijeka Zeta" prije nego što bude prekasno za očuvanje njegovih jedinstvenih karakteristika. Primarni cilj je da se osigura njegova funkcionalnost i zaštita unutar teritorije opštine Danilovgrad, kao i da se razmotri mogućnost proširenja zaštite na prostor opštine Nikšić. Ovaj pristup je nužan kako bi se omogućila sveobuhvatna zaštita cijelog toka rijeke, jer ne bi bilo smisleno štititi samo polovinu njenog toka. Potreban je sveobuhvatan pregled granica Parka prirode "Rijeka Zeta," s ciljem da se iz zaštićenog područja isključe preizgrađeni dijelovi, dok bi se na preostalom prostoru trebala pojačati zaštita i nadzor. U tom kontekstu, ključno je registrovati sve zagađivače i osigurati njihovu obavezu da instaliraju uređaje za prečišćavanje otpadnih voda putem zakonskih mjera. Takođe, neophodno je izvršiti reviziju visine kazni za kršenje ekoloških normi i strogo nadzirati poštovanje zakonski utvrđenih standarda, čime će se efikasno kontrolisati i smanjiti nivo zagađenja, a time i očuvati ekološka ravnoteža i integritet Parka prirode "Rijeka Zeta."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Spomenik prirode "Pećina Magara" ima potencijal da postane značajan dio turističke ponude Glavnog grada, ukoliko se stručnjaci koji budu izrađivali Reviziju studije zaštite i Plan upravljanja saglase sa ovom inicijativom. Njihova procjena će biti ključna za određivanje mogućnosti turističke valorizacije pećine, uz istovremeno očuvanje njenih prirodnih i kulturnih vrijednosti. Spomenik prirode Pećina "Magara" predstavlja potencijalno značajan segment turističke ponude grada, budući da je rijetko koji glavni grad u svijetu u prilici da se pohvali postojanjem speleološkog objekta na svega 6 km od svog centra. Da bi se u potpunosti iskoristio ovaj turistički potencijal, potrebno je angažovati stručnjake različitih profila koji će kroz izradu dokumenta "Revizija studije zaštite" i "Plan upravljanja" osigurati da se pećina adekvatno istraži i valorizuje. Ovi dokumenti će pružiti temeljne smjernice za pravilno upravljanje i očuvanje pećine, dok će istovremeno omogućiti njenu integraciju u turističku ponudu grada, uz maksimalno poštovanje njenih prirodnih vrijednosti.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Spomenik prirode "Park-šuma Gorica" predstavlja najljepši dio našeg grada i možda najznačajniji element njegove turističke ponude. Kako bi zadržala ovu ulogu, potrebno je značajno unaprijediti njenu infrastrukturu, uz strogo poštovanje principa očuvanja biodiverziteta. Takođe, neophodno je izmjenama planskih dokumenata smanjiti pritisak na zaštitnu zonu brda kroz ograničenje daljnje izgradnje, jer je već prisutna prekomjerna izgrađenost. Ovaj trend ne samo da narušava vizuelni identitet Gorice, već i negativno utiče na prirodno okruženje i ekološku ravnotežu brda Gorice.</w:t>
      </w:r>
    </w:p>
    <w:p w:rsidR="004D3FA8" w:rsidRDefault="004D3FA8" w:rsidP="00E36C81">
      <w:pPr>
        <w:pStyle w:val="Normal1"/>
        <w:spacing w:line="360" w:lineRule="auto"/>
        <w:jc w:val="both"/>
        <w:rPr>
          <w:rFonts w:ascii="Times New Roman" w:eastAsia="Times New Roman" w:hAnsi="Times New Roman" w:cs="Times New Roman"/>
          <w:sz w:val="24"/>
          <w:szCs w:val="24"/>
        </w:rPr>
      </w:pPr>
    </w:p>
    <w:p w:rsidR="004D3FA8" w:rsidRDefault="004D3FA8"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109" w:name="_Toc212039588"/>
      <w:r>
        <w:t>3.5.14. Partnerstva za održivi razvoj</w:t>
      </w:r>
      <w:bookmarkEnd w:id="109"/>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je tokom 2022. godine izabrana da učestvuje u Misiji EU za klimatski neutralne i pametne gradove do 2030. godine, zajedno sa 100 gradova iz 27 država članica EU i 12 gradova iz zemalja koje su pridružene programu EU za istraživanje i inovacije „Horizont Evropa“ (eng. Horizon Europe). Ova inicijativa predstavlja novi mehanizam za stvaranje konkretnih rješenja za najveće gobalne izazove, sa ciljem transformacije Evrope u zeleniji, zdraviji, inkluzivniji i otporniji kontinent.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Misija za gradove ima za cilj podržati, promovisati i voditi gradove kroz sistemsku transformaciju ka klimatskoj neutralnosti do 2030. godine, pretvarajući ih u inovativne centre koji poboljšavaju kvalitet života i održivost. Učešće Podgorice u ovoj misiji znači da će grad dobiti pristup dodatnim finansijskim sredstvima, savjetima i podršci kroz platformu “NetZeroCities”, kao i priliku za umrežavanje i razmjenu najboljih praksi sa drugim evropskim gradovima. Podgorica će, kroz ovu inicijativu, raditi na unapređenju zelene mobilnosti, energetske efikasnosti i zelenog urbanističkog planiranja, uz aktivno učešće građana, istraživačkih organizacija i privatnog sektora.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saradnje između državnih institucija, nevladinih organizacija i privatnog sektora će znatno doprinijeti uspješnosti ekoloških projekata. Implementacija strateških partnerstava i koordinacija s međunarodnim donatorima i organizacijama mogu pomoći u finansiranju i realizaciji projekata održivog razvoja​​.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Poboljšati energetsku efikasnost u sektoru saobraćaja kroz: promociju i uvođenje električnih, hibridnih i vozila na prirodnigas, većeg udjela biogoriva, alternativnih vidova mobilnosti (biciklistički prevoz), javnog gradskog i međugradskog saobraćaja, standarda za efikasnost vozila, eko-vožnje, preusmjeravanje kamionskog teretnog na željeznički saobraćaj, poboljšanje organizacije i efikasnosti drumskog saobraćaja u gradovima i primjenu integrisanih koncepta (“pametni” gradovi), SDG 7 (7.3).</w:t>
      </w:r>
    </w:p>
    <w:p w:rsidR="00E944C2" w:rsidRDefault="00F7666C" w:rsidP="00316155">
      <w:pPr>
        <w:pStyle w:val="Heading3"/>
        <w:jc w:val="both"/>
      </w:pPr>
      <w:bookmarkStart w:id="110" w:name="_Toc212039589"/>
      <w:r>
        <w:t>3.5.15. Razvoj turizma, sporta i rekreacije</w:t>
      </w:r>
      <w:bookmarkEnd w:id="110"/>
    </w:p>
    <w:p w:rsidR="00E944C2" w:rsidRDefault="00E944C2" w:rsidP="00E36C81">
      <w:pPr>
        <w:pStyle w:val="Normal1"/>
        <w:spacing w:line="360" w:lineRule="auto"/>
        <w:jc w:val="both"/>
        <w:rPr>
          <w:rFonts w:ascii="Times New Roman" w:eastAsia="Times New Roman" w:hAnsi="Times New Roman" w:cs="Times New Roman"/>
          <w:b/>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će se pozicionirati kao destinacija održivog turizma koja valorizuje svoje prirodne i kulturne resurse kroz razvoj infrastrukture i usluga koji minimiziraju ekološki otisak, a maksimiziraju doživljaj za posjetioce. Fokus će biti na razvoju atrakcija koje promovišu očuvanje prirodnog i kulturnog nasleđa, kao što su zaštićena prirodna područja, istorijski lokaliteti i kulturni događaji.</w:t>
      </w:r>
    </w:p>
    <w:p w:rsidR="00E944C2" w:rsidRDefault="00F7666C" w:rsidP="00316155">
      <w:pPr>
        <w:pStyle w:val="Heading3"/>
        <w:jc w:val="both"/>
      </w:pPr>
      <w:bookmarkStart w:id="111" w:name="_Toc212039590"/>
      <w:r>
        <w:t>3.5.15.1. Razvoj ekoturističke infrastrukture</w:t>
      </w:r>
      <w:bookmarkEnd w:id="111"/>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staza za pješačenje i biciklizam koje povezuju prirodne atrakcije uz postavljanje informativnih tabli koje edukuju posjetioce o biodiverzitetu i ekološkim inicijativama.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Podsticaji za podizanje ekoloških kampova i eko-hotela koji koriste obnovljive izvore energije i materijale niske emisije, pružajući turistima priliku za smještaj u skladu s prirodom. Podsticaj za razvoj Agro turizma u ruralnom području sa konceptom od njive do trpeze.</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112" w:name="_Toc212039591"/>
      <w:r>
        <w:t>3.5.15.2. Unapređenje kulturnog turizma</w:t>
      </w:r>
      <w:bookmarkEnd w:id="112"/>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Restauracija i očuvanje kulturnih znamenitosti, uključujući područje Duklje, crnogorske manastire i staru osmansku arhitekturu, te njihovo promovisanje kao ključnih turističkih atrakcija.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Organizacija kulturnih festivala i događaja koji promovišu lokalnu umjetnost, muziku i gastronomiju, stvarajući živopisan i atraktivan kulturni kalendar za turiste.</w:t>
      </w:r>
    </w:p>
    <w:p w:rsidR="00E944C2" w:rsidRDefault="00F7666C" w:rsidP="00E36C81">
      <w:pPr>
        <w:pStyle w:val="Normal1"/>
        <w:spacing w:line="36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Imajući u vidu saradnju sa Turističkom organizacijom Podgorice, otvara se prostor za zajedničko djelovanje i popularizaciju brojnih lokaliteta na nivou Glavnog grada koji su zapušteni ili uopšte nisu dobili svoju namjenu. Stoga najbitnije je istaći sljedeće vidove turizma:</w:t>
      </w:r>
    </w:p>
    <w:p w:rsidR="00E944C2" w:rsidRDefault="00F7666C" w:rsidP="00E36C81">
      <w:pPr>
        <w:pStyle w:val="Normal1"/>
        <w:numPr>
          <w:ilvl w:val="0"/>
          <w:numId w:val="20"/>
        </w:numPr>
        <w:spacing w:after="0" w:line="360" w:lineRule="auto"/>
        <w:jc w:val="both"/>
        <w:rPr>
          <w:color w:val="000000"/>
          <w:sz w:val="24"/>
          <w:szCs w:val="24"/>
        </w:rPr>
      </w:pPr>
      <w:r>
        <w:rPr>
          <w:rFonts w:ascii="Times New Roman" w:eastAsia="Times New Roman" w:hAnsi="Times New Roman" w:cs="Times New Roman"/>
          <w:color w:val="000000"/>
          <w:sz w:val="24"/>
          <w:szCs w:val="24"/>
        </w:rPr>
        <w:t>Ruralni turizam</w:t>
      </w:r>
    </w:p>
    <w:p w:rsidR="00E944C2" w:rsidRDefault="00F7666C" w:rsidP="00E36C81">
      <w:pPr>
        <w:pStyle w:val="Normal1"/>
        <w:numPr>
          <w:ilvl w:val="0"/>
          <w:numId w:val="20"/>
        </w:numPr>
        <w:spacing w:after="0" w:line="360" w:lineRule="auto"/>
        <w:jc w:val="both"/>
        <w:rPr>
          <w:color w:val="000000"/>
          <w:sz w:val="24"/>
          <w:szCs w:val="24"/>
        </w:rPr>
      </w:pPr>
      <w:r>
        <w:rPr>
          <w:rFonts w:ascii="Times New Roman" w:eastAsia="Times New Roman" w:hAnsi="Times New Roman" w:cs="Times New Roman"/>
          <w:color w:val="000000"/>
          <w:sz w:val="24"/>
          <w:szCs w:val="24"/>
        </w:rPr>
        <w:t>Kulturni turizam</w:t>
      </w:r>
    </w:p>
    <w:p w:rsidR="00E944C2" w:rsidRDefault="00F7666C" w:rsidP="00E36C81">
      <w:pPr>
        <w:pStyle w:val="Normal1"/>
        <w:numPr>
          <w:ilvl w:val="0"/>
          <w:numId w:val="20"/>
        </w:numPr>
        <w:spacing w:after="0" w:line="360" w:lineRule="auto"/>
        <w:jc w:val="both"/>
        <w:rPr>
          <w:color w:val="000000"/>
          <w:sz w:val="24"/>
          <w:szCs w:val="24"/>
        </w:rPr>
      </w:pPr>
      <w:r>
        <w:rPr>
          <w:rFonts w:ascii="Times New Roman" w:eastAsia="Times New Roman" w:hAnsi="Times New Roman" w:cs="Times New Roman"/>
          <w:color w:val="000000"/>
          <w:sz w:val="24"/>
          <w:szCs w:val="24"/>
        </w:rPr>
        <w:t>Manifestacioni turizam i</w:t>
      </w:r>
    </w:p>
    <w:p w:rsidR="00E944C2" w:rsidRDefault="00F7666C" w:rsidP="00E36C81">
      <w:pPr>
        <w:pStyle w:val="Normal1"/>
        <w:numPr>
          <w:ilvl w:val="0"/>
          <w:numId w:val="20"/>
        </w:numPr>
        <w:spacing w:line="360" w:lineRule="auto"/>
        <w:jc w:val="both"/>
        <w:rPr>
          <w:color w:val="000000"/>
          <w:sz w:val="24"/>
          <w:szCs w:val="24"/>
        </w:rPr>
      </w:pPr>
      <w:r>
        <w:rPr>
          <w:rFonts w:ascii="Times New Roman" w:eastAsia="Times New Roman" w:hAnsi="Times New Roman" w:cs="Times New Roman"/>
          <w:color w:val="000000"/>
          <w:sz w:val="24"/>
          <w:szCs w:val="24"/>
        </w:rPr>
        <w:t>Izletnički turizam</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Takođe, navedenim primjerom se mogu podsticati i ekonomski resursi u pogledu otvaranja suvenirnica na određenim lokacijama, te pružanje podrške lokalnim stvaraocima i preduzetnicima u ruralnim krajevima grada, ali svakako i ono najbitnije, privlačenje većeg broja turista i ostvarivanje većeg broja noćenja u Glavnom gradu.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obezbjeđivanja mikroklimatskih i svjetlosnih uslova, pravilnog deponovanja, rukovanja i pakovanja, konsolidacija i izolacija građevina i infrastrukture kroz očuvanje fonda i predmeta sa samih lokaliteta (arheoloških, istorijskih: Duklja, Muzej Marka Miljanova..), kao i podizanje svijesti o bitnosti očuvanja i zaštite samog mjesta i ostataka nekog lokaliteta, te kroz pravljenje putokaza sa lokacijama baštine van urbane sredine, dobija se dugoročna, kontinuirana, turistička i rekreativna ponuda. Usled preporučljivih okvira manipulisanja i čuvanja, muzealije moraju biti adekvatno zaštićene i prezentovane u vidu savremenih muzeološko-galerijskih postavki, zato je neophodno da budu dostupne posjetiocima na odgovarajući način. S tim u vezi, s obzirom na značaj i vrijednost muzejskog predmeta, zbog čega je i izmješten iz realnog života ili upotrebe, recimo kao primjer nekoga/nečega, kojem pripada posebno mjesto u modernoj likovnoj umjetnosti Crne Gore i bivšeg jugoslovenskog prostora, razložno je da se Galerija Rista Stijovića, koja čuva legat i zbirku njegovih djela posmatra i promoviše kao elitni brend kulturnog turizma glavnog grada i Crne Gore generalno. Promocijom na turističkim događajima, vebsajtovima, društvenim mrežama, odgovarajućom prezentacijom u vidu info-tabli, smjernica i signalizacije, brošura, letaka, turističkih punktova, zatim suvenira i drugih proizvoda dostupnih u galerijskoj suvenirnici, doprinosi se punoj vidljivosti i prezentaciji Galerije i djela Rista Stijovića, podstiče se kulturni turizam, takođe i ekonomski razvoj, s obzirom na finasijsku opravdanost i dugoročnu isplativost, mjerljivu kvantitativnim indikatorima. Segment „kulturni turizam”, kao dio šire društvene aktivnosti, prepoznat i kao segment kulturne privrede ima za cilj da kulturne potencijale određenog prostora, u ovom slučaju Glavnog grada, poveže sa održivim poslovnim idejama i da ih iz faktora potrošnje transformišu u generatore održivog razvoja. Te stoga, recimo, cjelovito i objedinjeno iskorišćenje Veljeg brda, kao zasebne kulturno-istorijske i geografske cjeline, dodatno bi obogatilo i proširilo turističku i kulturnu ponudu Glavnog grada. Postojeće i predložene rekreativne staze/ture povezivale bi Muzej Blaža Jovanovića sa lokalitetom Crvena stijena koji se nalazi na jugozapadnoj strani Malog Brda. Na vrhu Crvene stijene nalaze se ostaci tvrđave Lužnica, koja je na spisku zaštićenih kulturnih dobara. Ova pješačka staza omogućava odličan pogled na Podgoricu sa okolinom, Zeleniku, Skadarsko jezero, Rumiju, Dajbabsku goru, Dečić, Prokletije, Kučke planine... Od tvrđave na vrhu Crvene stijene moguće se spustiti pravcem ispod stijena do pećine Megara (Magara), a dalje do naselja Tološi prema ponudi šireg i užeg gradskog jezgra.</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3"/>
        <w:jc w:val="both"/>
      </w:pPr>
      <w:bookmarkStart w:id="113" w:name="_Toc212039592"/>
      <w:r>
        <w:t>3.5.16. Sport i rekreacija</w:t>
      </w:r>
      <w:bookmarkEnd w:id="113"/>
    </w:p>
    <w:p w:rsidR="00E944C2" w:rsidRDefault="00E944C2" w:rsidP="00E36C81">
      <w:pPr>
        <w:pStyle w:val="Normal1"/>
        <w:spacing w:after="120"/>
        <w:jc w:val="both"/>
      </w:pPr>
    </w:p>
    <w:p w:rsidR="00E944C2" w:rsidRDefault="00F7666C" w:rsidP="00E36C81">
      <w:pPr>
        <w:pStyle w:val="Normal1"/>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sporta i rekreacije u Podgorici u periodu 2025–2030. godine biće usmjeren na modernizaciju sportske infrastrukture, unapređenje rekreativnih sadržaja, promociju zdravih stilova života i jačanje uloge sporta kao faktora društvene kohezije i ekonomskog razvoja. Planirane aktivnosti prate strateške ciljeve održivog urbanog razvoja, digitalizacije, inkluzije i zelene tranzicije.</w:t>
      </w:r>
    </w:p>
    <w:p w:rsidR="00E944C2" w:rsidRDefault="00F7666C" w:rsidP="00316155">
      <w:pPr>
        <w:pStyle w:val="Heading3"/>
        <w:jc w:val="both"/>
      </w:pPr>
      <w:bookmarkStart w:id="114" w:name="_Toc212039593"/>
      <w:r>
        <w:t>3.5.16.1. Izgradnja i modernizacija sportske infrastrukture</w:t>
      </w:r>
      <w:bookmarkEnd w:id="114"/>
    </w:p>
    <w:p w:rsidR="00E944C2" w:rsidRDefault="00E944C2" w:rsidP="00316155">
      <w:pPr>
        <w:pStyle w:val="Normal1"/>
        <w:jc w:val="both"/>
      </w:pP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Olimpijska kuća i atletski stadion</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Formiranje administrativnog centra za sve sportske organizacije u cilju efikasnijeg rada, međunarodne saradnje i edukacije. Uz to, planirana je izgradnja atletskog stadiona u skladu sa IAAF standardima, čime bi se značajno unaprijedili uslovi za atletski sport u Crnoj Gori, a u saradnji sa Vladom Crne Gore. </w:t>
      </w:r>
    </w:p>
    <w:p w:rsidR="00E944C2" w:rsidRDefault="00F7666C" w:rsidP="00E36C81">
      <w:pPr>
        <w:pStyle w:val="Normal1"/>
        <w:spacing w:after="1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Podgorica će dobiti savremeni atletski stadion namijenjen treningu i takmičenjima u svim disciplinama atletike. Stadion će biti izgrađen u skladu sa međunarodnim standardima (World Athletics) i sadržavati: tartan stazu, tribine, bacališta i zone za skokove. Biće dio šire sportske zone.</w:t>
      </w: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Multifunkcionalna dvorana SC Ljubović</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Izgradnja savremene, energetski efikasne dvorane sa fleksibilnim sadržajem za gimnastiku, košarku, odbojku, rukomet, borilačke sportove i sportsko penjanje. </w:t>
      </w:r>
    </w:p>
    <w:p w:rsidR="00E944C2" w:rsidRDefault="00F7666C" w:rsidP="00E36C81">
      <w:pPr>
        <w:pStyle w:val="Normal1"/>
        <w:numPr>
          <w:ilvl w:val="0"/>
          <w:numId w:val="21"/>
        </w:numPr>
        <w:spacing w:before="180" w:after="180" w:line="240" w:lineRule="auto"/>
        <w:jc w:val="both"/>
        <w:rPr>
          <w:rFonts w:ascii="Times New Roman" w:eastAsia="Times New Roman" w:hAnsi="Times New Roman" w:cs="Times New Roman"/>
          <w:i/>
          <w:sz w:val="24"/>
          <w:szCs w:val="24"/>
        </w:rPr>
      </w:pPr>
      <w:r>
        <w:rPr>
          <w:rFonts w:ascii="Times New Roman" w:eastAsia="Times New Roman" w:hAnsi="Times New Roman" w:cs="Times New Roman"/>
          <w:i/>
          <w:sz w:val="24"/>
          <w:szCs w:val="24"/>
        </w:rPr>
        <w:t>Olimpijski bazen</w:t>
      </w:r>
    </w:p>
    <w:p w:rsidR="00E944C2" w:rsidRDefault="00F7666C" w:rsidP="00E36C81">
      <w:pPr>
        <w:pStyle w:val="Normal1"/>
        <w:spacing w:before="180" w:after="18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Rekonstrukcija postojećeg Olimpijskog bazena kroz izgradnju pokrivene konstrukcije koja omogućava cjelogodišnju upotrebu. </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Planira se i izgradnja dodatnog otvorenog bazena za rekreativne i takmičarske potrebe, sa prostorima za obuku neplivača, školu plivanja i inkluzivne i rekreativne programe. </w:t>
      </w: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Fudbalski kamp,  Istočna tribina Gradskog stadiona i stadion FK Zabjelo</w:t>
      </w:r>
    </w:p>
    <w:p w:rsidR="00E944C2" w:rsidRDefault="00F7666C" w:rsidP="00E36C81">
      <w:pPr>
        <w:pStyle w:val="Normal1"/>
        <w:spacing w:before="180" w:after="18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U saradnji sa FSCG, izgradnja regionalnog fudbalskog kampa u cilju rasterećenja lokalnih terena i smanjenja troškova zakupa za fudbalske klubove sa sjedištem u Glavnom gradu. </w:t>
      </w:r>
    </w:p>
    <w:p w:rsidR="00E944C2" w:rsidRDefault="00F7666C" w:rsidP="00E36C81">
      <w:pPr>
        <w:pStyle w:val="Normal1"/>
        <w:spacing w:before="180" w:after="18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 Završetak istočne tribine Gradskog stadiona obezbijediće uslove za održavanje međunarodnih takmičenja, u skladu sa UEFA standardima. </w:t>
      </w:r>
    </w:p>
    <w:p w:rsidR="00E944C2" w:rsidRDefault="00F7666C" w:rsidP="00E36C81">
      <w:pPr>
        <w:pStyle w:val="Normal1"/>
        <w:spacing w:after="12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 xml:space="preserve">Izgradnja dva mala terena u sklopu kompleksa - stadiona Zabjela u saradnji sa Fudbalskim savezom Crne Gore. Urađeni pripremni radovi na površini 30 x 90 na kojoj će biti izgrađena dva mala terena.  </w:t>
      </w: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Stadion malih sportova</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Legalizacija i tehnička sanacija postojećeg objekta, uz prilagođavanje dimenzija za sportove kao što su futsal, 3x3 basket i rukomet na manjem terenu. Ugradnja kvalitetne podloge i tehničke opreme za održavanje noćnih turnira, manifestacija i školsko-rekreativnih programa.</w:t>
      </w:r>
    </w:p>
    <w:p w:rsidR="00E944C2" w:rsidRDefault="00E944C2" w:rsidP="00316155">
      <w:pPr>
        <w:pStyle w:val="Heading3"/>
        <w:jc w:val="both"/>
        <w:rPr>
          <w:b w:val="0"/>
          <w:i w:val="0"/>
          <w:color w:val="auto"/>
        </w:rPr>
      </w:pPr>
    </w:p>
    <w:p w:rsidR="00E944C2" w:rsidRDefault="00F7666C" w:rsidP="00316155">
      <w:pPr>
        <w:pStyle w:val="Heading3"/>
        <w:jc w:val="both"/>
      </w:pPr>
      <w:bookmarkStart w:id="115" w:name="_Toc212039594"/>
      <w:r>
        <w:t>3.5.16.2. Sportski turizam i aktivni odmor</w:t>
      </w:r>
      <w:bookmarkEnd w:id="115"/>
    </w:p>
    <w:p w:rsidR="00E944C2" w:rsidRDefault="00E944C2" w:rsidP="00316155">
      <w:pPr>
        <w:pStyle w:val="Normal1"/>
        <w:jc w:val="both"/>
      </w:pP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Međunarodni sportski događaji</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Podrška organizaciji međunarodnih takmičenja i manifestacija (npr. „Skokovi sa Vezirovog mosta“, biciklistički i atletski maratoni, karate i džudo turniri itd.). Kroz saradnju sa Turističkom organizacijom Podgorice, nacionalnim savezima i lokalnim partnerima, planirana je promocija grada kao atraktivne destinacije za sportski turizam.</w:t>
      </w: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Tematske biciklističke i planinarske ture</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Razvoj označenih ruta koje povezuju kulturno-istorijske i prirodne lokalitete (Skadarsko jezero, Zeta, Medun) sa mogućnošću vođenih tura, iznajmljivanja opreme i digitalnog vodiča. Ove ture će uključivati elemente gastronomije i etno ponude</w:t>
      </w:r>
    </w:p>
    <w:p w:rsidR="004D3FA8" w:rsidRDefault="004D3FA8" w:rsidP="00316155">
      <w:pPr>
        <w:pStyle w:val="Heading3"/>
        <w:jc w:val="both"/>
      </w:pPr>
      <w:bookmarkStart w:id="116" w:name="_Toc212039595"/>
    </w:p>
    <w:p w:rsidR="00E944C2" w:rsidRDefault="00F7666C" w:rsidP="00316155">
      <w:pPr>
        <w:pStyle w:val="Heading3"/>
        <w:jc w:val="both"/>
      </w:pPr>
      <w:r>
        <w:t>3.5.16.3. Sportska inkluzija, školski sport i zdravi stilovi života</w:t>
      </w:r>
      <w:bookmarkEnd w:id="116"/>
    </w:p>
    <w:p w:rsidR="00E944C2" w:rsidRDefault="00E944C2" w:rsidP="00316155">
      <w:pPr>
        <w:pStyle w:val="Normal1"/>
        <w:jc w:val="both"/>
      </w:pP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Otvoreni školski sportski poligoni</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Adaptacija školskih terena sa multifunkcionalnim podlogama, mobilnim koševima, mrežama i rasvjetom. Građanima će biti dostupni van nastave, uz upravljanje kroz lokalne zajednice i školske savjete, a u saradnji sa Ministarstvom prosvjete.</w:t>
      </w:r>
    </w:p>
    <w:p w:rsidR="00E944C2" w:rsidRDefault="00F7666C" w:rsidP="00316155">
      <w:pPr>
        <w:pStyle w:val="Heading4"/>
        <w:numPr>
          <w:ilvl w:val="0"/>
          <w:numId w:val="21"/>
        </w:numPr>
        <w:jc w:val="both"/>
        <w:rPr>
          <w:rFonts w:ascii="Noto Sans Symbols" w:eastAsia="Noto Sans Symbols" w:hAnsi="Noto Sans Symbols" w:cs="Noto Sans Symbols"/>
          <w:sz w:val="20"/>
          <w:szCs w:val="20"/>
        </w:rPr>
      </w:pPr>
      <w:r>
        <w:rPr>
          <w:color w:val="000000"/>
          <w:sz w:val="24"/>
          <w:szCs w:val="24"/>
        </w:rPr>
        <w:t>Masovni sportski i rekreativni programi</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Implementacija javnih programa u partnerstvu sa nacionalnim savezima (atletika, plivanje, biciklizam i borilačke sportove), za sve starosne grupe – rekreativne trke, plivački izazovi, sportske radionice za djecu, programi za penzionere i osobe sa invaliditetom.</w:t>
      </w:r>
    </w:p>
    <w:p w:rsidR="00E944C2" w:rsidRDefault="00F7666C" w:rsidP="00E36C81">
      <w:pPr>
        <w:pStyle w:val="Normal1"/>
        <w:spacing w:before="180" w:after="18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Realizacijom planiranih mjera, Podgorica će se pozicionirati kao jedan od lidera u regionu po pitanju održivog razvoja sporta. Biće to grad u kojem su sport i rekreacija dostupni svima – djeci, mladima, starijima, osobama sa invaliditetom, rekreativcima i profesionalcima. Sport neće biti samo sektor, već pokretačka snaga zajednice, zdravlja i turizma, uz snažnu institucionalnu podršku, kvalitetnu infrastrukturu i bogat kalendar aktivnosti tokom cijele godine.</w:t>
      </w:r>
    </w:p>
    <w:p w:rsidR="00E944C2" w:rsidRDefault="00E944C2" w:rsidP="00316155">
      <w:pPr>
        <w:pStyle w:val="Normal1"/>
        <w:spacing w:line="360" w:lineRule="auto"/>
        <w:jc w:val="both"/>
        <w:rPr>
          <w:rFonts w:ascii="Times New Roman" w:eastAsia="Times New Roman" w:hAnsi="Times New Roman" w:cs="Times New Roman"/>
          <w:b/>
          <w:sz w:val="24"/>
          <w:szCs w:val="24"/>
        </w:rPr>
      </w:pPr>
    </w:p>
    <w:p w:rsidR="004D3FA8" w:rsidRDefault="004D3FA8" w:rsidP="00316155">
      <w:pPr>
        <w:pStyle w:val="Normal1"/>
        <w:spacing w:line="360" w:lineRule="auto"/>
        <w:jc w:val="both"/>
        <w:rPr>
          <w:rFonts w:ascii="Times New Roman" w:eastAsia="Times New Roman" w:hAnsi="Times New Roman" w:cs="Times New Roman"/>
          <w:b/>
          <w:sz w:val="24"/>
          <w:szCs w:val="24"/>
        </w:rPr>
      </w:pPr>
    </w:p>
    <w:p w:rsidR="00E944C2" w:rsidRDefault="00F7666C" w:rsidP="00316155">
      <w:pPr>
        <w:pStyle w:val="Heading3"/>
        <w:jc w:val="both"/>
      </w:pPr>
      <w:bookmarkStart w:id="117" w:name="_Toc212039596"/>
      <w:r>
        <w:t>3.5.17. Kultura i društveni razvoj</w:t>
      </w:r>
      <w:bookmarkEnd w:id="117"/>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Kao najveći grad države, prevashodno brojem stanovnika raznolike etničke, vjerske i nacionalne pripadnosti, kao i geografskom pozicijom, Podgorica ima višestruku prednost u odnosu na mnoge druge sredine što bi imalo višeslojne benifite za djelatnost kojom se bavi naša ustanova. Prikupljanje, istraživanje i prezentovanje civilizacijskih, kulturnih materijalnih I nematerijalnih dobara, kao i dijelova prirode sa teritorije Glavnog grada i šire predstavlja osnov za djelovanje ka spolja/publici Glavnog grada, što su postulate uređeni i definisani zakonom Crne Gore za ovu oblast, kao i Etičkim kodeksom za muzeje (ICOM Code of Ethics), a koji se mogu projektovati na obrazovne, društveno-svjesne, a i ekonomske aspekte djelovanja Glavnog grada ka svojim građanima i pokazati društvenu relevantnost muzejske ustanove.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Kultura i kulturna scena u Glavnom gradu ubrzano se razvijaju, što se očitava u sve većem broju kulturnih inicijativa koje se realizuju u Podgorici. Iz godine u godinu sve je sadržajniji kalendar kulturnih programa koji se organizuju u Glavnom gradu. Sekretarijat za kulturu i gradske ustanove kulture nosioci su velikog broja navedenih aktivnosti.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Istovremeno, ulaganja u kulturu su i dalje jako skromna i nedovoljna za praćenje sve izraženijih kulturnih potreba građana Podgorice i njenih posjetilaca. Budžeti Sekretarijata za kulturu i ustanova kulture neznatno su uvećani tokom prethodnih desetak godina, a svi troškovi kulturne produkcije rasli su neuporedivo većim tempom tokom navedenog perioda. Nažalost, nivo izdavanja za kulturu ne prati ni trend rasta gradskog budžeta. Potrebno je usaglasiti u narednom periodu izdvajanje budžeta za djelatnost kulture u skladu sa iskazanim potrebama.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teritoriji Podgorice nalaze se kulturna dobra izuzetne vrijednosti. Prije svega to su lokaliteti Duklja, Medun, tvrđava Ribnica – Depedogen, Jusovača, tvrđava Crvena stijena...  Nažalost,  nivo  valorizacije ovih kulturnih dobara, u potpunoj je nesrazmjeri  sa njihovim značajem. Duklja, kao najprepoznatljivije kulturno dobro na teritoriji Glavnog grada, više je puta kroz istoriju devastirana, ogroman broj parcela se nalazi u privatnom vlasništvu, simbolična sredstva izdvajaju se za arheološka istraživanja i mjere valorizacije na lokalitetu, kako na lokalnom, tako i nadržavnom nivou. Sličan je status i drugih pobrojanih kultunih dobara.  Navedeno rezultira i nedovoljno razvijenim kulturnim turizmom koji je ozbiljan razvojni potencijal Glavnog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Tehnički kapaciteti objekata i prostora u kojim se realizuju kulturni programi, jedan su od važnih ograničavajućih faktora u kulturi.  Gradsko pozorište, i pored višemilionske investicije u novu zgradu ustanove, i dalje realizuje svoje aktivnosti u krajnje neuslovnim okvirima.  Značajna ulaganja potrebna su u cilju adaptacije KIC-a “Budo Tomović”, a naročito Velike sale ustanove, budući da se u KIC-u organizuje najveći broj kulturnih programa u Glavnom gradu. Kada su u pitanju, JU “Muzeji i galerije”, pored realizovanih investicija i širenja kapaciteta kroz rekonstrukciju Kuslevove kuće, Galerije “Art”, otvaranje Galerije “Risto Stijović”, neophodno je poboljšanje uslova za izlaganje predmeta iz arheološke, kulturno-istorijske, etnografske i istorijske zbirke ustanove, kao i sanacija objekta Muzeja “Marka Miljanova” na Medunu.  Značajna ulaganja neophodna su i u zgradi JU NB “Radosav Ljumović”.</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Iako se u Podgorici organizuju dva sajma knjiga i niz drugih manifestacija sajamskog karaktera, grad i dalje ne raspolaže adekvatnim sajamskim prostorom koji bi omogućio značajno uvećanje broja sajamskih programa različite profilacije, čime bi se pospiješila kulturna, privredna i turistička aktivnost u Glavnom gradu.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Pored privatnog bioskopa u jednom od gradskih tržnih centara, Podgorici nedostaje i gradski bioskop koji bi , bar u određenoj mjeri, nadomjestio rušenje kultnog “Kina kulture”. Izgradnjom nove bioskopske sale, ili adaptacijom u ovu svrhu nekog od postojećih gradskih prostora omogućilo bi se prikazivanje filmova koji nisu nužno i dominantno komercijalnog karaktera, po znatno pristupačnijim uslovima u odnosu na trenutne.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Kao problem ističe se da se sve  institucije, ustanove i kulturna zdanja nalaze se u užem centru grada, dok su ostali djelovi grada, ako zanemarimo rijetke izuzetke (kuća Stojanovića, Muzej “Marka Miljanova”), lišeni adekvatne kulturne infrastrukture. Takođe, iako Grad obiluje lokacijama koje mogu biti korišćene kao atraktivne otvorene scene, nedostatak komunalne infrastrukture (potrebni priključci za struju i napajanje, nedostatak manjih otvorenih scena u parkovima i na drugim gradskim površinama), značajno otežava disperziju kulturnih sasdržaja, što je jedan od osnovnih ciljeva gradske kulturne politike. Ogromni produkcijski troškovi i potreba za rentiranjem binske i druge tehničke opreme ze realizaciju programa na otvorenom značajno limitiraju broj i kvalitet kulturnih, zabavnih, turističkih, sportskih i drugih inicijativa u Glavnom gradu.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 predstojećem periodu, fokus svih kulturnih politika Glavnog grada mora biti, prije svega, na valorizaciji značajnog neiskorišćenog potencijala kulturne baštine Glavnog grada.  Adekvatnom strategijom, sistemskim pristupom i značajnim uvećanjem ulaganja u oblasti koja predstavlja jednu od najvećih razvojnih prilika Grada, kroz nekoliko godina značajno bi se unaprijedila kulturno-turistička ponuda Podgorice, što bi dovelo do multiplikativnih pozitivnih efekata. Na teritoriji Podgorice nalaze se kulturna dobra izuzetne vrijednosti. Prije svega to su lokaliteti Duklja, Medun, tvrđava Ribnica – Depedogen, ali i Jusovača, tvrđava Crvena stijena I druga kulturna dobra.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Rimski grad Duklja jedan je od najvažnijih arheoloških lokaliteta u Crnoj Gori koji već decenijama izaziva veliko interesovanje stručne zajednice iz čitavog svijeta. Nažalost, zbog kontinuirane devastacije i nebrige o lokalitetu, danas veoma mali procenat  turista koji posjećuje Podgoricu posjećuje Duklju,  veliki broj parcela na lokalitetu nalazi u privatnom vlasništvu, a arheološka istraživanja realizovana su samo u manjem obimu (skori izuzetno vrijedni  nalaz tzv. životinjske sahrane pokazatelj je nužnosti kontinuiranih obimnih istraživanja na lokalitetu).  Smatramo da je imperativno, uz usvajanje Menadžment plana za lokalitet (kreira ga Centar za konzervaciju i arheologiju Crne Gore), koji se očekuje već nekoliko godina, u narednom periodu izvršiti mapiranje prioritetnih parcela za otkup od privatnih vlasnika i parcele koje se nalazu u vlasništvu Države i Glavnog grada staviti pod okrilje jedne institucije u cilju svih budućih aktivnosti na lokalitetu.  Preporuka je uspostaviti Arheološki park Duklja sa izgradnjom Centra za posjetioce koji će omogućiti kontinuirani i dugoročni razvoj kao i obnovu ovog najznačajnijeg arheološkog lokaliteta u Crnoj Gori.</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Medun u istorijskom smislu ima još duži kontinuitet od Duklje, budući da nalazi sa lokaliteta sežu i do III i IV vijeka prije nove ere. Medun je specifičan po višeslojnosti istorijskih nalaza, a na medunskoj tvrđavi već su odrađena dva ciklusa arheoloških istraživanja. Preostalo je da se istraži  donji dio utvrđenja, za šta su neophodna novčana sredstva u iznosu od 25-30.000 eura, čime bi se stvorile pretpostavke za izradu konzervatorskog projekta i moguću rekonstrukciju tvrđave koja i u ovom stanju, uz opasnost obrušavanja dijela bedema, privlači značajan broj posjetilaca. Eventualna rekonstrukcija tvrđave, u skladu sa nalazima i istorijskim izvorima, donijela bi ogromnu novu vrijednost kulturnoj ponudi Grada i prostoru Kuča kojem pripada u užem smislu.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Tvrđava Ribnica-Depedogen još jedna je velika, nedovoljno istražena priča, čija bi valorizacija donijela novu dimenziju kulturno-turističkoj ponudi najužeg gradskog jezgra. Uz sve ambijentalne specifičnosti lokaliteta i mogućnosti realizacije niza kulturnih inicijativa na ovom prostoru, aktivnosti na valorizaciji ovog kulturnog dobra bile bi višestruko značajne po Glavni grad. Podrazumijeva se da na lokalitetu moraju biti sprovedena dalja arheološka istraživanja, konzervacija i rekonstrukcija bedema u mogućem obimu, uz puno korišćenje potencijala Ljetnje scene i Sastavaka za realizaciju raznovrsnih programskih formi, kako festivala, tako i pojedinačnih kulturnih događaja.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Stara varoš je, takođe, ogroman resurs u kulturno-turističkom smislu, pa bi dalje aktivnosti u cilju opremanja adekvatnom komunalnom infrastrukturom i očuvanja autentičnog ambijenta tog prostora, uz stimulisanje djelatnosti starih zanata i kreativnih industrija koje bi bile zastupljene u ovom dijelu grada i još veću frekvenciju kulturnih događaja na prepoznatljivim starovaroškim, lokalitetima, dodatno upotpunili kulturni mozaik grada. Do 2030. godine inicirati uređenje fasada na trgu Bećir Bega Osmanagića čime bi se platou vratio srednjovjekovni izgled iz epohe otomanske vladavine. Srednjovjekovni izgled zajedno sa pozicioniranjem ugostiteljskih objekata etno stila, pružio bi posjetiocima upotpunjeno iskustvo ove istorijske epohe.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Budući da je već raspisan tender za izvođenje radova na rekonstrukciji objekta </w:t>
      </w:r>
      <w:r>
        <w:rPr>
          <w:rFonts w:ascii="Times New Roman" w:eastAsia="Times New Roman" w:hAnsi="Times New Roman" w:cs="Times New Roman"/>
          <w:b/>
          <w:sz w:val="24"/>
          <w:szCs w:val="24"/>
        </w:rPr>
        <w:t>Jusovače</w:t>
      </w:r>
      <w:r>
        <w:rPr>
          <w:rFonts w:ascii="Times New Roman" w:eastAsia="Times New Roman" w:hAnsi="Times New Roman" w:cs="Times New Roman"/>
          <w:sz w:val="24"/>
          <w:szCs w:val="24"/>
        </w:rPr>
        <w:t xml:space="preserve">, očekujemo da će u narednih nekoliko godina ovaj prostor postati nova gradska kulturna pozornica koja će omogućiti realizaciju spektra kulturnih inicijativa.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Tvrđava Crvena stijena (Velje brdo, iznad Tološa), dominira okružnim prostorom i predstavlja vrijedan kulturno-turistički resurs Glavnog grada.  U cilju boljeg prezentovanja istorije tvrđave, neophodna je izgradnja adekvatne staze koja vodi od podnožja Veljeg brda do pojasa kulturnog dobra Crvena stijena, uz arheološka istraživanja lokaliteta, te aktivnosti u cilju sanacije/rekonstrukcije tvrđave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obzirom na usmjerenost gradske kulturne politike na otvorene prostore i klimatske predispozicije Podgorice, u narednom period neophodno je nastaviti sa širenjem mreže kulturnih punktova na kojim će se realizovati sve brojniji kulturni programi, u organizaciji Grada, države i nezavisne kultutrne scene. U tom smislu, neophodno je da se, po uzoru na Njegošev park, u što je moguće većem broju gradskih javnih površina, izgrade mini amfiteatri ili otvorene kulturne scene, na kojim bi se mogli realizovati programi manjeg obima. Takođe, akcenat bi u narednom periodu trebalo staviti na bolju valorizaciju obala podgoričkih rijeka koje pružaju niz prostora za kulturne scene jedinstvenog ambijentalnog potencijala. Valorizacijom podgoričkih obala, kroz korišćenje ambijentalnih specifičnosti prostora oko objekta “Banja”, Sastavaka i prostora kod objekta “Labud” za realizaciju raznovrsnih kulturnih inicijativa i festivala podgorička kulturna ponuda dobila bi novu, autentičnu dimenziju.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polju kulturne baštine, imperativni zadatak je rapidno uvećanje izdvajanja za valorizaciju kulturnih dobara, a prije svega Duklje, Meduna i Ribnice.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 2030. godine, a nadamo se i ranije, na Duklji je, na osnovu Menadžment plana i saglasnosti činilaca na lokalnom i državnom nivou neophodno otkupiti privatne parcele koje struka smatra prioritetnim za dalja istraživanja lokaliteta i širenje kompleksa koji se nalazi u javnom vlasništvu. Dalje, potrebno je izvršiti formiranje jedne organizacione jedinice koja će biti nosilac aktivnosti na lokalitetu, ali i prevesti sve parcele u javnom vlasništvu na novoformiranu jedinicu, u cilju što efikasnije realizacije zacrtanih aktivnosti. Nužno je značajno uvećati iznos godišnjih sredstava za arheološka istraživanja na Duklji, uz razmatranje mogućnosti za povlačenje sredstava iz međunarodnih izvora, imajući u vidu značaj lokaliteta koji se nalazi na Tentativnoj listi UNESCO-a. Nakon sprovedenih istraživanja na dijelu lokaliteta neophodno je razmotriti mogućnost izgradnje Muzeja u kojem bi bili izloženi artefakti sa lokaliteta. </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Medunu je prioritet okončanje arheoloških istraživanja tvrđave, sanacija dijela ugroženih bedema, te izrada konzervatorskog plana koji bi dao smjernice za eventualnu buduću rekonstrukciju tvrđave. Uz naslanjanje na Muzej Marka Miljanova, Grad bi u periodu do 2030. godine dobio vrijedan kulturni lokalitet koji bi značajno nadogradio kulturne i turističke potencijale ovog kraja. Sličan je slijed aktivnosti i na tvrđavi Ribnica/Depedogen, gdje su, takođe, neophodna arheološka istraživanja u cilju adekvatnog upoznavanja sa istorijom lokaliteta. Sprovođenjem neophodnih aktivnosti na ovim dobrima, stvorili bi se preduslovi da Grad i Država posredno i neposredno prihoduju značajna sredstva kroz valorizaciju lokaliteta, koja bi bila usmjerena na dalja istraživanja i aktivnosti u cilju očuvanja, obnove i promocije ovih kulturnih dobara.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Jedan od ključnih prioriteta u kulturnoj politici Grada mora biti i značajno uvećanje programskih budžeta Sekretarijata za kulturu i gradskih ustanova kulture, čime bi se stimulisala kvalitetnija kulturna produkcija, kreiranje novih kulturnih programa i manifestacija, te nadogradnja prepoznatljivih kulturnih sadržaja. Takođe, potrebno je nastaviti sa podrškom sve energičnijoj nezavisnoj kulturnoj sceni, kako finansijski, tako i logistički. Samo u sinergiji svih kulturnih činilaca može biti napravljen potreban iskorak u kulturnoj politici Glavnog grada.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Decentralizacija kulture i kulturne ponude u Podgorici jedan je od važnih pravaca gradske kulturne politike u narednom periodu. Izgradnjom novih kulturnih kapaciteta u djelovima grada u kojim nedostaju ovi sadržaji stvoriće se preduslovi za ravnomjernije organizovanje kulturnih incijativa u svim djelovima Podgorice. Ovaj cilj može biti dosegnut adaptacijom postojećih objekata koje koriste mjesne zajednice (poput bioskopa 25. maj, na Koniku), planiranjem multimedijalnih sala u okviru projekata multifunkcionalnih objekata koji se grade u gradskim naseljima, ali i eventualnom izgradnjom još jednog kulturno-informativnog centra u dijelu grada koji se ubrzano razvija, moguće u zoni nekadašnje fabrike “Radoje Dakić” ili obližnjim površinama.  </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Takođe, jedan od prioriteta u narednom periodu mora biti i adekvatno opremanje komunalne infrastrukture, gdje je potrebno izvršiti mapiranje određenog broja lokacija na teritoriji Grada pogodnih za realizaciju kulturnih programa, a potom i njihovo opremanje adekvatnim strujnim priključcima i pratećom infrastrukturom (po ugledu na Njegošev park). </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rapidno rastuće troškove rentiranja opreme za potrebe tehničke realizacije programa na otvorenom (binske konstrukcije, rasvjete, ozvučenja), neophodno je razmotriti mogućnost nabavke ove opreme koja bi poslužila za realizaciju Podgoričkog i Proljećnog pazara, ali i velikog broja kulturnih i zabavnih programa koje realizuju prije svih Sekretarijat za kulturu i Turistička organizacija Podgorice. Na ovaj način dugoročno bi se obezbijedila značajna ušteda u dijelu tehničke realizacije programa, a ta sredstva bi se mogla preusmjeriti na uvećanje budžeta za programske sadržaje.</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gradskog sajamskog prostora još jedna je od nužnih investicija koja može imati višestruko pozitivne efekte za Glavni grad. Podgorica je tokom godine, između ostalog, domaćin dva sajma knjiga koji se realizuju u improvizovanim prostorima neadekvatnim za ovaj tip manifestacija.</w:t>
      </w:r>
    </w:p>
    <w:p w:rsidR="00E944C2" w:rsidRDefault="00F7666C">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brojne izazove</w:t>
      </w:r>
      <w:r w:rsidR="000561F7">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 ali i razvojne potencijale u oblasti kulture Glavnog grada, obiman je spisak strateških ciljeva i prioriteta  koje treba realizovati u narednom periodu. U okviru Strateškog plana razvoja Glavnog grada Podgorica za period 2026-2031, planirani su sljedeći projekti: Rekonstrukcija i adaptacija postojećih prostora za prenamjenu u depo, karantin i konzervatorski atelje/radionicu, uključujući objekte u neposrednom okruženju i van korpusa glavne zgrade JU Muzeji i galerije Podgorice. Valorizacija i turistička prezentacija Galerije Risto Stijović će uključivati trajnu zaštitu i savremenu prezentaciju djela, uz nabavku galerijskog mobilijara i formiranje suvenirnice. Takođe, biće postavljena nova stalna postavka u JU Muzeji i galerije Podgorice. Planirana je i 3D digitalizacija dijela muzejskog fonda, antičkih i istorijskih lokaliteta na teritoriji Glavnog grada, kao što su Duklja i Medun. Konzervatorsko-restauratorske mjere i fizička zaštita mozaika na lokalitetu Duklja biće sprovedene u okviru projekta Doclea Mosaic. Takođe, biće realizovana revalorizacija Kuće Blaža Jovanovića na Veljem Brdu.</w:t>
      </w:r>
    </w:p>
    <w:p w:rsidR="00E944C2" w:rsidRDefault="00F7666C" w:rsidP="00316155">
      <w:pPr>
        <w:pStyle w:val="Heading3"/>
        <w:jc w:val="both"/>
      </w:pPr>
      <w:bookmarkStart w:id="118" w:name="_Toc212039597"/>
      <w:r>
        <w:t>3.5. 18. Podrška mladima i razvoj omladinske politike</w:t>
      </w:r>
      <w:bookmarkEnd w:id="118"/>
    </w:p>
    <w:p w:rsidR="00E944C2" w:rsidRDefault="00E944C2" w:rsidP="00316155">
      <w:pPr>
        <w:pStyle w:val="Normal1"/>
        <w:spacing w:line="360" w:lineRule="auto"/>
        <w:jc w:val="both"/>
        <w:rPr>
          <w:rFonts w:ascii="Times New Roman" w:eastAsia="Times New Roman" w:hAnsi="Times New Roman" w:cs="Times New Roman"/>
          <w:b/>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Podrška mladima i razvoj omladinske politike u Glavnom gradu ključni su za stvaranje održivog i prosperitetnog društva. Omladinska politika treba da odgovori na specifične potrebe mladih, pružajući im alate i prilike za lični i profesionalni razvoj, omogućavajući im istovremeno aktivno učešće u društvenim procesima.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Na potrebe mladih, Sekretarijat za lokalnu samoupravu i saradnju sa civilnim društvom, kao organ zadužen za kreiranje i sprovođenje omladinske politike, odgovara donošenjem inovativnih i sveobuhvatnih strateških dokumenata kojima se tretiraju pitanja od značaja za mlade, kreiraju bolji uslovi za njihov razvoj u Podgorici, te unapređuje pristup kulturnim, sportskim i drugim sadržajima u gradu.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Kroz Strateški plan razvoja Glavnog grada, predviđeno je pokretanje multifunkcionalnog omladinskog centra za mlade, po ugledu na glavne gradove u regionu i Evropi. Centar ovog tipa pružiće priliku mladima da unaprijede svoje vještine i sposobnosti kroz neformalno obrazovanje, razvijanje kreativnosti, zdravih stilova života, kulturu, socijalizaciju i mnoge druge aktivnosti koje doprinose ličnom i društvenom razvoju mladih.</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 druge strane, centar bi služio i kao prostor za okupljanje, gdje bi mladi bili u prilici da razmjenjuju mišljenja i iskustva sa svojim vršnjacima i na kvalitetan način provode slobodno vrijeme.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Kroz osnivanje pomenutog centra, Kancelarija za mlade bi na direktan način ostvarivala kontakt sa mladim ljudima, te dobijala neophodne inpute u cilju unapređenja postojećeg okvira omladinske politike. Osim toga, višeprostorni kapaciteti centra, omogućili bi realizaciju aktivnosti u različitim oblastima, čime bi se osigurao lakši pristup pomenutim sadržajima, uzimajući u obzir da bi se na jednom mjestu mogli ispratiti edukativni, kulturno-umjetnički, sportsko-rekreativni i informativni sadržaji.</w:t>
      </w:r>
    </w:p>
    <w:p w:rsidR="00E944C2" w:rsidRDefault="00F7666C" w:rsidP="00316155">
      <w:pPr>
        <w:pStyle w:val="Heading3"/>
        <w:jc w:val="both"/>
      </w:pPr>
      <w:bookmarkStart w:id="119" w:name="_Toc212039598"/>
      <w:r>
        <w:t>3.5.19. Regulatorne reforme</w:t>
      </w:r>
      <w:bookmarkEnd w:id="119"/>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Postoji potreba za jačanjem regulatornog procesa kroz unapređenje i proširenje zakonske regulative, uz istovremeno prilagođavanje zakonodavstva evropskoj regulativi, koja mora biti integrisana i prilagođena nacionalnom zakonodavnom okviru. </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Potreba za regulatornom reformom u Podgorici proizlazi iz nekoliko ključnih faktora koji utiču na socioekonomski razvoj i kvalitet života u glavnom gradu Crne Gore. Prvo, kompleksnost i tromost trenutnog administrativnog sistema može biti prepreka za efikasno poslovanje i investiranje, što Podgoricu čini manje konkurentnom u odnosu na druge regionalne centre. Modernizacija regulative i pojednostavljenje procedura bi omogućilo brže i transparentnije procese, što bi privuklo domaće i strane investitore.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Drugo, postojeći problemi u upravljanju urbanim prostorom, kao što su nepravilno parkiranje, nedovoljno efikasna infrastruktura i loše upravljanje otpadom, zahtevaju reviziju i jačanje lokalnih propisa. Regulatorne reforme bi mogle da uvedu strožije kontrole i efikasnije kazne koje bi pomogle u održavanju reda i čistoće u gradskim zonama. Reforme kaznene politike u vidu novčanih kazni koje će adekvatno reflektovati težinu prekršaja, zajedno s efikasnim metodama za njihovu naplatu imaju za cilj obeshrabrivanje prekršaja i osiguranje reda.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Treće, zaštita životne sredine je još jedan važan segment koji zahtijeva reformu. Podgorica se suočava s izazovima kao što su zagađenje vazduha i neadekvatno odlaganje otpada. Reforma bi trebala da obuhvati strožije ekološke standarde i bolje resurse za nadzor i sprovođenje zakona o zaštiti životne sredine.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Četvrto, poboljšanje inspekcijskog sistema kroz regulatorne reforme može povećati efikasnost, smanjiti mogućnost korupcije, što bi direktno unaprijedilo pravnu sigurnost i poslovnu klimu u glavnom gradu.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Sve ove reforme bi doprinijele stvaranju stabilnijeg, privlačnijeg i održivijeg okruženja za građane i poslovne subjekte u Podgorici, čime bi se osigurao dugoročni razvoj i prosperitet grada.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Ispitivanje izvodljivosti sprovođenja zelene poreske reforme (predlog redizajniranja postojećih poreza i naknada za zagađivanje životne sredine i korišćenje prirodnih resursa; priprema plana poreskih olakšica za stimulisanje resursne efikasnosti i njihova postepena primjena; puna primjena inoviranih, instrumenata sa ciljem da se do ostvarivanja punopravnog članstva u EU, Crna Gora priblliži prosječnom udjelu ovih prihoda kao u budžetima EU država članica.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Međutim, pored unapređenja zakonskih propisa i podzakonskih akata, nužno je potrebno da se isti u praksi primjenjuju od strane nadležnih organa. Uprava za zaštitu imovinsko - pravnih interesa Glavnog grada je svjedok brojnih sudskih procesa, koji su okončani i onih koji se i dalje vode, a koji su izazvani isključivo pasivnošću i nepostupanjem nadležnih organa, kako opštine, tako i države. U tom smislu je potrebna odgovarajuća obuka stručnog kadra, u smislu sticanja i unapređenja znanja i vještina radi postupanja u skladu sa reformisanim i postojećim propisima, određivanja smjernica i obaveza u pogledu načina postupanja u konkretnim slučajevima i situacijama. Osim toga je potrebno sprovoditi kontinuiranu kontrolu rada postupajućih organa, kako bi se omogućilo kontinuirano i adekvatno sprovođenje zakonskih propisa u odgovarajućim aspektima. Na prednji način je moguće na najadekvatniji način odgovoriti izazovima, koje sa sobom nosi sve veća modernizacija, unapređenje tehnologije, socijalna mobilnost, povećanje broja </w:t>
      </w:r>
      <w:bookmarkStart w:id="120" w:name="_GoBack"/>
      <w:bookmarkEnd w:id="120"/>
      <w:r>
        <w:rPr>
          <w:rFonts w:ascii="Times New Roman" w:eastAsia="Times New Roman" w:hAnsi="Times New Roman" w:cs="Times New Roman"/>
          <w:sz w:val="24"/>
          <w:szCs w:val="24"/>
        </w:rPr>
        <w:t xml:space="preserve">stanovnika, sve većeg dolaska stranih lica, turista, priliva stranih investitora. Naprijed navedeno je nužno kako bi se stvorili uslovi za privlačenjem stranih investitora, što sa sobom nosi privlačenje investicija i kapitala, a što posljedično stvara uslove za unapređenjem razvoja Glavnog grada, modernizacijom i približavanjem nivou evropskih i svjetskih gradova.  </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4D3FA8" w:rsidRDefault="004D3FA8" w:rsidP="00E36C81">
      <w:pPr>
        <w:pStyle w:val="Normal1"/>
        <w:spacing w:line="360" w:lineRule="auto"/>
        <w:jc w:val="both"/>
        <w:rPr>
          <w:rFonts w:ascii="Times New Roman" w:eastAsia="Times New Roman" w:hAnsi="Times New Roman" w:cs="Times New Roman"/>
          <w:sz w:val="24"/>
          <w:szCs w:val="24"/>
        </w:rPr>
      </w:pPr>
    </w:p>
    <w:p w:rsidR="004D3FA8" w:rsidRDefault="004D3FA8"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1"/>
        <w:jc w:val="both"/>
      </w:pPr>
      <w:bookmarkStart w:id="121" w:name="_Toc212039599"/>
      <w:r>
        <w:t>4. PLAN IMPLEMENTACIJE</w:t>
      </w:r>
      <w:bookmarkEnd w:id="121"/>
    </w:p>
    <w:p w:rsidR="00E944C2" w:rsidRDefault="00E944C2" w:rsidP="00316155">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2"/>
        <w:jc w:val="both"/>
      </w:pPr>
      <w:bookmarkStart w:id="122" w:name="_Toc212039600"/>
      <w:r>
        <w:t>4.1. Uključivanje zainteresovanih strana</w:t>
      </w:r>
      <w:bookmarkEnd w:id="122"/>
    </w:p>
    <w:p w:rsidR="00E944C2" w:rsidRDefault="00E944C2" w:rsidP="00316155">
      <w:pPr>
        <w:pStyle w:val="Normal1"/>
        <w:jc w:val="both"/>
        <w:rPr>
          <w:rFonts w:ascii="Times New Roman" w:eastAsia="Times New Roman" w:hAnsi="Times New Roman" w:cs="Times New Roman"/>
        </w:rPr>
      </w:pPr>
    </w:p>
    <w:p w:rsidR="00E944C2" w:rsidRDefault="00F7666C" w:rsidP="00316155">
      <w:pPr>
        <w:pStyle w:val="Normal1"/>
        <w:numPr>
          <w:ilvl w:val="0"/>
          <w:numId w:val="21"/>
        </w:numPr>
        <w:spacing w:after="0" w:line="360" w:lineRule="auto"/>
        <w:jc w:val="both"/>
        <w:rPr>
          <w:color w:val="000000"/>
          <w:sz w:val="24"/>
          <w:szCs w:val="24"/>
        </w:rPr>
      </w:pPr>
      <w:r>
        <w:rPr>
          <w:rFonts w:ascii="Times New Roman" w:eastAsia="Times New Roman" w:hAnsi="Times New Roman" w:cs="Times New Roman"/>
          <w:color w:val="000000"/>
          <w:sz w:val="24"/>
          <w:szCs w:val="24"/>
        </w:rPr>
        <w:t>Plan konsultacija sa građanima i drugim zainteresovanim stranama</w:t>
      </w:r>
    </w:p>
    <w:p w:rsidR="00E944C2" w:rsidRDefault="00F7666C" w:rsidP="00316155">
      <w:pPr>
        <w:pStyle w:val="Normal1"/>
        <w:numPr>
          <w:ilvl w:val="0"/>
          <w:numId w:val="21"/>
        </w:numPr>
        <w:spacing w:after="0" w:line="360" w:lineRule="auto"/>
        <w:jc w:val="both"/>
        <w:rPr>
          <w:color w:val="000000"/>
          <w:sz w:val="24"/>
          <w:szCs w:val="24"/>
        </w:rPr>
      </w:pPr>
      <w:r>
        <w:rPr>
          <w:rFonts w:ascii="Times New Roman" w:eastAsia="Times New Roman" w:hAnsi="Times New Roman" w:cs="Times New Roman"/>
          <w:color w:val="000000"/>
          <w:sz w:val="24"/>
          <w:szCs w:val="24"/>
        </w:rPr>
        <w:t>Partnerstva sa privatnim i javnim sektorom</w:t>
      </w:r>
    </w:p>
    <w:p w:rsidR="00E944C2" w:rsidRDefault="00F7666C" w:rsidP="00316155">
      <w:pPr>
        <w:pStyle w:val="Normal1"/>
        <w:numPr>
          <w:ilvl w:val="0"/>
          <w:numId w:val="21"/>
        </w:numPr>
        <w:spacing w:line="360" w:lineRule="auto"/>
        <w:jc w:val="both"/>
        <w:rPr>
          <w:color w:val="000000"/>
          <w:sz w:val="24"/>
          <w:szCs w:val="24"/>
        </w:rPr>
      </w:pPr>
      <w:r>
        <w:rPr>
          <w:rFonts w:ascii="Times New Roman" w:eastAsia="Times New Roman" w:hAnsi="Times New Roman" w:cs="Times New Roman"/>
          <w:color w:val="000000"/>
          <w:sz w:val="24"/>
          <w:szCs w:val="24"/>
        </w:rPr>
        <w:t>Međunarodna saradnja</w:t>
      </w:r>
    </w:p>
    <w:p w:rsidR="00E944C2" w:rsidRDefault="00F7666C" w:rsidP="00316155">
      <w:pPr>
        <w:pStyle w:val="Heading2"/>
        <w:jc w:val="both"/>
      </w:pPr>
      <w:bookmarkStart w:id="123" w:name="_Toc212039601"/>
      <w:r>
        <w:t>4.2.  Praćenje i evaluacija</w:t>
      </w:r>
      <w:bookmarkEnd w:id="123"/>
    </w:p>
    <w:p w:rsidR="00E944C2" w:rsidRDefault="00E944C2" w:rsidP="00316155">
      <w:pPr>
        <w:pStyle w:val="Normal1"/>
        <w:jc w:val="both"/>
      </w:pPr>
    </w:p>
    <w:p w:rsidR="00E944C2" w:rsidRDefault="00F7666C" w:rsidP="00316155">
      <w:pPr>
        <w:pStyle w:val="Normal1"/>
        <w:numPr>
          <w:ilvl w:val="0"/>
          <w:numId w:val="22"/>
        </w:numPr>
        <w:spacing w:after="0"/>
        <w:jc w:val="both"/>
        <w:rPr>
          <w:color w:val="000000"/>
          <w:sz w:val="24"/>
          <w:szCs w:val="24"/>
        </w:rPr>
      </w:pPr>
      <w:r>
        <w:rPr>
          <w:rFonts w:ascii="Times New Roman" w:eastAsia="Times New Roman" w:hAnsi="Times New Roman" w:cs="Times New Roman"/>
          <w:color w:val="000000"/>
          <w:sz w:val="24"/>
          <w:szCs w:val="24"/>
        </w:rPr>
        <w:t>Indikatori uspjeha</w:t>
      </w:r>
    </w:p>
    <w:p w:rsidR="00E944C2" w:rsidRDefault="00F7666C" w:rsidP="00316155">
      <w:pPr>
        <w:pStyle w:val="Normal1"/>
        <w:numPr>
          <w:ilvl w:val="0"/>
          <w:numId w:val="22"/>
        </w:numPr>
        <w:spacing w:after="0" w:line="360" w:lineRule="auto"/>
        <w:jc w:val="both"/>
        <w:rPr>
          <w:color w:val="000000"/>
          <w:sz w:val="24"/>
          <w:szCs w:val="24"/>
        </w:rPr>
      </w:pPr>
      <w:r>
        <w:rPr>
          <w:rFonts w:ascii="Times New Roman" w:eastAsia="Times New Roman" w:hAnsi="Times New Roman" w:cs="Times New Roman"/>
          <w:color w:val="000000"/>
          <w:sz w:val="24"/>
          <w:szCs w:val="24"/>
        </w:rPr>
        <w:t>Redovni pregledi i izveštavanje</w:t>
      </w:r>
    </w:p>
    <w:p w:rsidR="00E944C2" w:rsidRDefault="00F7666C" w:rsidP="00316155">
      <w:pPr>
        <w:pStyle w:val="Normal1"/>
        <w:numPr>
          <w:ilvl w:val="0"/>
          <w:numId w:val="22"/>
        </w:numPr>
        <w:spacing w:line="360" w:lineRule="auto"/>
        <w:jc w:val="both"/>
        <w:rPr>
          <w:color w:val="000000"/>
          <w:sz w:val="24"/>
          <w:szCs w:val="24"/>
        </w:rPr>
      </w:pPr>
      <w:r>
        <w:rPr>
          <w:rFonts w:ascii="Times New Roman" w:eastAsia="Times New Roman" w:hAnsi="Times New Roman" w:cs="Times New Roman"/>
          <w:color w:val="000000"/>
          <w:sz w:val="24"/>
          <w:szCs w:val="24"/>
        </w:rPr>
        <w:t>Prilagođavanje strategije na osnovu rezultata</w:t>
      </w:r>
    </w:p>
    <w:p w:rsidR="000F43B7" w:rsidRDefault="000F43B7" w:rsidP="00316155">
      <w:pPr>
        <w:pStyle w:val="Normal1"/>
      </w:pPr>
    </w:p>
    <w:p w:rsidR="000F43B7" w:rsidRDefault="000F43B7" w:rsidP="00316155">
      <w:pPr>
        <w:pStyle w:val="Normal1"/>
      </w:pPr>
    </w:p>
    <w:p w:rsidR="000F43B7" w:rsidRDefault="000F43B7" w:rsidP="00316155">
      <w:pPr>
        <w:pStyle w:val="Normal1"/>
      </w:pPr>
    </w:p>
    <w:p w:rsidR="000F43B7" w:rsidRDefault="000F43B7" w:rsidP="00316155">
      <w:pPr>
        <w:pStyle w:val="Normal1"/>
      </w:pPr>
    </w:p>
    <w:p w:rsidR="000F43B7" w:rsidRDefault="000F43B7" w:rsidP="00316155">
      <w:pPr>
        <w:pStyle w:val="Normal1"/>
      </w:pPr>
    </w:p>
    <w:p w:rsidR="00E944C2" w:rsidRDefault="00F7666C" w:rsidP="00316155">
      <w:pPr>
        <w:pStyle w:val="Heading1"/>
        <w:jc w:val="both"/>
      </w:pPr>
      <w:bookmarkStart w:id="124" w:name="_Toc212039602"/>
      <w:r>
        <w:t>5. ZAKLJUČAK</w:t>
      </w:r>
      <w:bookmarkEnd w:id="124"/>
    </w:p>
    <w:p w:rsidR="00E944C2" w:rsidRDefault="00E944C2" w:rsidP="00316155">
      <w:pPr>
        <w:pStyle w:val="Normal1"/>
        <w:jc w:val="both"/>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Digitalizacija i administrativna efikasnost: Dokument ističe važnost unapređenja digitalnih usluga za osnivanje novih preduzeća i poboljšanje postupaka u slučaju bankrota u Crnoj Gori. Za Podgoricu, prioritet davanje digitalnoj transformaciji administrativnih usluga moglo bi pojednostaviti poslovne operacije i poboljšati ukupnu ekonomsku efikasnost.</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Inovacije i podrška novim preduzećima: Uspostavljanje Fonda za inovacije u Crnoj Gori se navodi kao značajan korak ka podsticanju živahnog i inovativnog poslovnog pejzaža. Podgorica bi mogla imati koristi od sličnih inicijativa koje promovišu lokalne startape i podržavaju tehnološke inovacije kako bi privukle više poslovanja i investicija.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Održivi i pravični razvoj: Izvještaj naglašava održivi razvoj u različitim regionima, fokusirajući se na stvaranje poslovnih propisa koji takođe uzimaju u obzir životnu sredinu i društvenu pravdu. Za Podgoricu, integracija održivih praksi u poslovanje i urbani razvoj mogla bi poboljšati privlačnost grada kao modernog, naprednog centra.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Infrastruktura i javne usluge: Ističe se poboljšanje javnih usluga i infrastrukture, koje su ključne za poslovne operacije. Podgorica bi mogla fokusirati na nadogradnju svoje infrastrukture kako bi podržala poslovne aktivnosti, uključujući transport, komunalije i IT usluge.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Konkurentno i otporno poslovno okruženje: Opšti cilj je stvoriti konkurentnu regiju koja je otporna na ekonomske promjene. To uključuje ne samo poboljšanja u regulativi već i podsticanje tržišnog okruženja koje je pogodno za rast i inovacije poslovanja.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Ove tačke iz dokumenta mogu poslužiti kao smjernice za usklađivanje strateškog plana Podgorice sa širim regionalnim ciljevima, osiguravajući da razvoj grada bude i konkurentan i održiv. Integracija ovih elemenata u proces strateškog planiranja pomogla bi Podgorici da iskoristi regionalne trendove i unutrašnje snage za poboljšanje svog položaja kao ključnog urbanog centra u Crnoj Gori i širem jugoistočnoevropskom regionu.</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"Nacionalna strategija za cirkularnu tranziciju do 2030. sa Akcionim planom 2023-2024" iznosi nekoliko strateških ciljeva koji bi mogli biti veoma relevantni za razvojni plan Podgorice. Evo segmenata iz dokumenta koji bi bili ključni za integraciju u strateški plan za Podgoricu kao glavni grad:</w:t>
      </w:r>
    </w:p>
    <w:p w:rsidR="00E944C2" w:rsidRDefault="00F7666C" w:rsidP="00E36C81">
      <w:pPr>
        <w:pStyle w:val="Normal1"/>
        <w:numPr>
          <w:ilvl w:val="0"/>
          <w:numId w:val="2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Poboljšane ekološke funkcije i otpornost na klimatske uticaje: Strategija ima za cilj da poboljša socijalne, ekološke i ekonomske funkcije šuma i njihovu otpornost na negativne klimatske uticaje, što se može uskladiti sa razvojem zelenih površina u Podgorici, promovisanjem urbanog šumarstva i parkova koji mogu ublažiti efekte urbanih toplotnih ostrva i poboljšati kvalitet vazduha.</w:t>
      </w:r>
    </w:p>
    <w:p w:rsidR="00E944C2" w:rsidRDefault="00F7666C" w:rsidP="00E36C81">
      <w:pPr>
        <w:pStyle w:val="Normal1"/>
        <w:numPr>
          <w:ilvl w:val="0"/>
          <w:numId w:val="2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Održiva upotreba prostora i resursa u građevinarstvu: Fokus na održive građevinske prakse može se direktno primijeniti na urbanističke planove Podgorice, naglašavajući upotrebu održivih materijala i tehnologija u građevinskim projektima za poboljšanje energetske efikasnosti i smanjenje ekološkog otiska.</w:t>
      </w:r>
    </w:p>
    <w:p w:rsidR="00E944C2" w:rsidRDefault="00F7666C" w:rsidP="00E36C81">
      <w:pPr>
        <w:pStyle w:val="Normal1"/>
        <w:numPr>
          <w:ilvl w:val="0"/>
          <w:numId w:val="2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Unaprijeđen razvoj turizma na principima održivog razvoja: Ovo uključuje promociju Podgorice kao održive turističke destinacije, što bi moglo uključivati razvoj ekološki prihvatljivih atrakcija i infrastrukture, čime bi se turistički sektor grada uskladio sa širim ciljevima ekološke održivosti.</w:t>
      </w:r>
    </w:p>
    <w:p w:rsidR="00E944C2" w:rsidRDefault="00F7666C" w:rsidP="00E36C81">
      <w:pPr>
        <w:pStyle w:val="Normal1"/>
        <w:numPr>
          <w:ilvl w:val="0"/>
          <w:numId w:val="2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Povećana konkurentnost ekonomije kroz diverzifikaciju i inovacije: Podgorica može iskoristiti ovaj strateški cilj promovisanjem inovacija u tehnologiji i podržavanjem sektora kao što su digitalne usluge i zelene tehnologije, što bi moglo privući nove poslove i investicije u grad.</w:t>
      </w:r>
    </w:p>
    <w:p w:rsidR="00E944C2" w:rsidRDefault="00F7666C" w:rsidP="00E36C81">
      <w:pPr>
        <w:pStyle w:val="Normal1"/>
        <w:numPr>
          <w:ilvl w:val="0"/>
          <w:numId w:val="23"/>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Stvaranje podržavajućeg okruženja za cirkularnu tranziciju: To uključuje sprovođenje politika i inicijativa koje podstiču preduzeća i potrošače da usvoje prakse cirkularne ekonomije. To bi moglo uključivati podsticaje za reciklažu, programe smanjenja otpada i podršku za preduzeća koja usvajaju održive prakse.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Integracijom ovih ciljeva iz nacionalne strategije u razvojni plan Podgorice, grad može uskladiti svoje lokalne ciljeve sa nacionalnim prioritetima, osiguravajući kohezivan i održiv razvoj koji koristi nacionalnu političku podršku i mogućnosti finansiranja.</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 "Nacionalne strategije održivog razvoja Crne Gore do 2030. godine", važno je izdvojiti segmente koji se mogu direktno primijeniti na razvoj strategije za Podgoricu. Ovi segmenti su ključni za usmjeravanje lokalnih politika i aktivnosti prema ostvarivanju nacionalnih ciljeva održivosti. Evo pregleda nekih od ključnih segmenata i kako ih može implementirati Podgorica:</w:t>
      </w:r>
    </w:p>
    <w:p w:rsidR="00E944C2" w:rsidRDefault="00F7666C" w:rsidP="00E36C81">
      <w:pPr>
        <w:pStyle w:val="Normal1"/>
        <w:numPr>
          <w:ilvl w:val="0"/>
          <w:numId w:val="2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Zeleni razvoj i očuvanje prirodnih resursa: Strategija naglašava potrebu za zaštitom biodiverziteta i očuvanjem prirodnih resursa kao suštinskih za održivost. Podgorica bi mogla razviti projekte koji promovišu zelenu infrastrukturu, poput parkova i zaštićenih prirodnih područja, što bi poboljšalo kvalitet života i privuklo ekoturizam.</w:t>
      </w:r>
    </w:p>
    <w:p w:rsidR="00E944C2" w:rsidRDefault="00F7666C" w:rsidP="00E36C81">
      <w:pPr>
        <w:pStyle w:val="Normal1"/>
        <w:numPr>
          <w:ilvl w:val="0"/>
          <w:numId w:val="2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Energetska efikasnost i obnovljivi izvori energije: Strategija prepoznaje važnost energetske efikasnosti i korišćenja obnovljivih izvora energije. Podgorica bi mogla investirati u solarne projekte i unaprediti energetsku efikasnost javnih i privatnih zgrada kako bi se smanjila zavisnost od fosilnih goriva i smanjili emisijski gasovi.</w:t>
      </w:r>
    </w:p>
    <w:p w:rsidR="00E944C2" w:rsidRDefault="00F7666C">
      <w:pPr>
        <w:pStyle w:val="Normal1"/>
        <w:numPr>
          <w:ilvl w:val="0"/>
          <w:numId w:val="2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Održivi razvoj i socijalna inkluzija: Strategija stavlja naglasak na poboljšanje socijalne inkluzije i demografske politike. Podgorica može razviti programe koji podstiču bolje obrazovanje i zdravstvenu zaštitu, kao i integraciju marginalizovanih grupa u društvo.</w:t>
      </w:r>
    </w:p>
    <w:p w:rsidR="00E944C2" w:rsidRDefault="00F7666C">
      <w:pPr>
        <w:pStyle w:val="Normal1"/>
        <w:numPr>
          <w:ilvl w:val="0"/>
          <w:numId w:val="2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Održiva potrošnja i proizvodnja: Postoji fokus na smanjenju otpada kroz cirkularne ekonomske modele. Podgorica može implementirati strategije za recikliranje i ponovnu upotrebu materijala u gradskim službama i među stanovništvom.</w:t>
      </w:r>
    </w:p>
    <w:p w:rsidR="00E944C2" w:rsidRDefault="00F7666C" w:rsidP="00E36C81">
      <w:pPr>
        <w:pStyle w:val="Normal1"/>
        <w:numPr>
          <w:ilvl w:val="0"/>
          <w:numId w:val="24"/>
        </w:numPr>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Adaptacija na klimatske promjene i upravljanje rizicima: Uvođenje efikasnijeg upravljanja resursima i adaptacija infrastructure otporne na klimatske promjene </w:t>
      </w:r>
      <w:r w:rsidRPr="0023777C">
        <w:rPr>
          <w:rFonts w:ascii="Times New Roman" w:eastAsia="Times New Roman" w:hAnsi="Times New Roman" w:cs="Times New Roman"/>
          <w:sz w:val="24"/>
          <w:szCs w:val="24"/>
        </w:rPr>
        <w:t>su</w:t>
      </w:r>
      <w:r>
        <w:rPr>
          <w:rFonts w:ascii="Times New Roman" w:eastAsia="Times New Roman" w:hAnsi="Times New Roman" w:cs="Times New Roman"/>
          <w:sz w:val="24"/>
          <w:szCs w:val="24"/>
        </w:rPr>
        <w:t xml:space="preserve"> ključni. Ovo uključuje jačanje kapaciteta gradskih službi za odgovor na prirodne i antropogene katastrofe i poboljšanje urbanog planiranja otpornog na ekstremne vremenske uslove.</w:t>
      </w: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Implementiranjem ovih segmenata, Podgorica ne samo da će doprineti ostvarivanju nacionalnih ciljeva održivog razvoja, već će i poboljšati kvalitet života svojih građana i postati model održivog razvoja u regionu.</w:t>
      </w: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316155">
      <w:pPr>
        <w:pStyle w:val="Heading1"/>
        <w:jc w:val="both"/>
        <w:rPr>
          <w:rFonts w:eastAsia="Times New Roman" w:cs="Times New Roman"/>
        </w:rPr>
      </w:pPr>
      <w:bookmarkStart w:id="125" w:name="_Toc212039603"/>
      <w:r>
        <w:rPr>
          <w:rFonts w:eastAsia="Times New Roman" w:cs="Times New Roman"/>
        </w:rPr>
        <w:t>Razvojni ciljevi Glavnog grada</w:t>
      </w:r>
      <w:bookmarkEnd w:id="125"/>
    </w:p>
    <w:p w:rsidR="00E944C2" w:rsidRDefault="00E944C2" w:rsidP="00E36C81">
      <w:pPr>
        <w:pStyle w:val="Normal1"/>
        <w:spacing w:line="360" w:lineRule="auto"/>
        <w:jc w:val="both"/>
        <w:rPr>
          <w:rFonts w:ascii="Times New Roman" w:eastAsia="Times New Roman" w:hAnsi="Times New Roman" w:cs="Times New Roman"/>
          <w:sz w:val="24"/>
          <w:szCs w:val="24"/>
        </w:rPr>
      </w:pPr>
    </w:p>
    <w:p w:rsidR="00E944C2" w:rsidRDefault="00F7666C" w:rsidP="00E36C81">
      <w:pPr>
        <w:pStyle w:val="Normal1"/>
        <w:spacing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Strateški plan razvoja Glavnog grada Podgorica je struktuiran kroz jasnu hijerarhiju razvojnih ciljeva. To su opšti cilj, specifični strateški ciljevi i priroteti. Opšti cilj (često se još naziva i dugoročni ili sveobuhvatni cilj) pokazuje smjer, ono što treba da postignemo na duži rok, ostvarenjem niza specifičnih strateških ciljeva. Specifični strateški ciljevi se baziraju na promjenama koje želimo postići u određenim oblastima, u kojima su identifikovane razvojne mogućnosti i potencijali (tokom analize postojećeg stanja, SWOT i drugih analiza). U namjeri da se lakše operacionalizuju specifični strateški ciljevi, treba definisati prioritete (u okviru svakog strateškog specifičnog cilja). Prioriteti su uže oblasti koje predstavljaju razradu i konkretizaciju specifičnih strateških ciljeva. Prioriteti se mogu identifikovati tokom analize problema ili grupe problema.</w:t>
      </w:r>
    </w:p>
    <w:tbl>
      <w:tblPr>
        <w:tblStyle w:val="51"/>
        <w:tblW w:w="8741" w:type="dxa"/>
        <w:tblInd w:w="100" w:type="dxa"/>
        <w:tblLayout w:type="fixed"/>
        <w:tblLook w:val="04A0"/>
      </w:tblPr>
      <w:tblGrid>
        <w:gridCol w:w="4339"/>
        <w:gridCol w:w="2077"/>
        <w:gridCol w:w="1134"/>
        <w:gridCol w:w="927"/>
        <w:gridCol w:w="10"/>
        <w:gridCol w:w="55"/>
        <w:gridCol w:w="199"/>
      </w:tblGrid>
      <w:tr w:rsidR="00595D39" w:rsidTr="00316155">
        <w:trPr>
          <w:gridAfter w:val="3"/>
          <w:wAfter w:w="264" w:type="dxa"/>
          <w:cantSplit/>
          <w:trHeight w:val="607"/>
          <w:tblHeader/>
        </w:trPr>
        <w:tc>
          <w:tcPr>
            <w:tcW w:w="8477"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4D3FA8"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SPECI</w:t>
            </w:r>
            <w:r w:rsidR="00F7666C">
              <w:rPr>
                <w:rFonts w:ascii="Times New Roman" w:eastAsia="Times New Roman" w:hAnsi="Times New Roman" w:cs="Times New Roman"/>
                <w:b/>
                <w:color w:val="FFFFFF"/>
                <w:sz w:val="24"/>
                <w:szCs w:val="24"/>
              </w:rPr>
              <w:t xml:space="preserve">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316155">
        <w:trPr>
          <w:gridAfter w:val="3"/>
          <w:wAfter w:w="264" w:type="dxa"/>
          <w:cantSplit/>
          <w:trHeight w:val="910"/>
          <w:tblHeader/>
        </w:trPr>
        <w:tc>
          <w:tcPr>
            <w:tcW w:w="8477"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w:t>
            </w:r>
            <w:r>
              <w:rPr>
                <w:rFonts w:ascii="Times New Roman" w:eastAsia="Times New Roman" w:hAnsi="Times New Roman" w:cs="Times New Roman"/>
                <w:sz w:val="24"/>
                <w:szCs w:val="24"/>
              </w:rPr>
              <w:t xml:space="preserve"> IZGRADNJA ZAPADNE OBILAZNICE</w:t>
            </w:r>
          </w:p>
        </w:tc>
      </w:tr>
      <w:tr w:rsidR="00595D39" w:rsidTr="00316155">
        <w:trPr>
          <w:gridAfter w:val="3"/>
          <w:wAfter w:w="264" w:type="dxa"/>
          <w:cantSplit/>
          <w:trHeight w:val="607"/>
          <w:tblHeader/>
        </w:trPr>
        <w:tc>
          <w:tcPr>
            <w:tcW w:w="8477"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komunalne infrastrukture i djelatnosti. Izgradnjom obilaznice obezbijediće se rasterećenje grada od tranzitnog saobraćaja. Projektni ishod je izradnja još jedne obilaznice čime će se obezbijediti veća bezbjednost saobraćaja, bolja povezanost gradskih cjelina, stvaranje uslova za kvalitetniji javni prevoz putnika.</w:t>
            </w:r>
          </w:p>
          <w:p w:rsidR="00E944C2" w:rsidRDefault="00F7666C" w:rsidP="00316155">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Indikatori za praćenje ostvarenosti cilja:</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priključaka na prateću infrastrukturu (vodovodnu mrežu, kanalizacionu mrežu; +1000 korisnika)</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izgrađenih saobraćajnih traka (2x2 trake duž trase)</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komunalno opremljenih lokacija (+100 lokacija)</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korisnika javnog saobraćaja (+50%)</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Dužina asfaltiraja puta (+3 km)</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priključaka sa postojećom mrežom</w:t>
            </w:r>
          </w:p>
          <w:p w:rsidR="00E944C2" w:rsidRDefault="00F7666C" w:rsidP="00316155">
            <w:pPr>
              <w:pStyle w:val="Normal1"/>
              <w:numPr>
                <w:ilvl w:val="0"/>
                <w:numId w:val="25"/>
              </w:numPr>
              <w:spacing w:after="0" w:line="240" w:lineRule="auto"/>
              <w:jc w:val="both"/>
              <w:rPr>
                <w:color w:val="FFFFFF"/>
                <w:sz w:val="24"/>
                <w:szCs w:val="24"/>
              </w:rPr>
            </w:pPr>
            <w:r>
              <w:rPr>
                <w:rFonts w:ascii="Times New Roman" w:eastAsia="Times New Roman" w:hAnsi="Times New Roman" w:cs="Times New Roman"/>
                <w:color w:val="FFFFFF"/>
                <w:sz w:val="24"/>
                <w:szCs w:val="24"/>
              </w:rPr>
              <w:t>Broj postavljenih saobraćajnih zankova, signaizacije i rasvjete (3km  rasvjete)</w:t>
            </w:r>
          </w:p>
          <w:p w:rsidR="00E944C2" w:rsidRDefault="00E944C2" w:rsidP="00316155">
            <w:pPr>
              <w:pStyle w:val="Normal1"/>
              <w:spacing w:after="0" w:line="240" w:lineRule="auto"/>
              <w:ind w:left="720"/>
              <w:jc w:val="both"/>
              <w:rPr>
                <w:rFonts w:ascii="Times New Roman" w:eastAsia="Times New Roman" w:hAnsi="Times New Roman" w:cs="Times New Roman"/>
                <w:color w:val="FFFFFF"/>
                <w:sz w:val="24"/>
                <w:szCs w:val="24"/>
              </w:rPr>
            </w:pPr>
          </w:p>
          <w:p w:rsidR="00E944C2" w:rsidRDefault="00E944C2" w:rsidP="00E36C81">
            <w:pPr>
              <w:pStyle w:val="Normal1"/>
              <w:jc w:val="both"/>
              <w:rPr>
                <w:rFonts w:ascii="Times New Roman" w:eastAsia="Times New Roman" w:hAnsi="Times New Roman" w:cs="Times New Roman"/>
                <w:b/>
                <w:color w:val="FFFFFF"/>
                <w:sz w:val="24"/>
                <w:szCs w:val="24"/>
              </w:rPr>
            </w:pPr>
          </w:p>
        </w:tc>
      </w:tr>
      <w:tr w:rsidR="00595D39" w:rsidTr="00316155">
        <w:trPr>
          <w:gridAfter w:val="3"/>
          <w:wAfter w:w="264" w:type="dxa"/>
          <w:cantSplit/>
          <w:trHeight w:val="764"/>
          <w:tblHeader/>
        </w:trPr>
        <w:tc>
          <w:tcPr>
            <w:tcW w:w="8477"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Trasa ove saobraćajnice prostire se od Cetinjskog puta do uklapanja na Bulevar za Danilovgrad, tj. na kružni tok prije Komanskog mosta gledano iz pravca grada. Saobraćajnica prolazi kroz naselja Donja Gorica i Gornja Gorica. Dužina trase je cca 3000m. Poprečni profil saobraćajnice je 22m  i čine ga kolovozne trake širine 2x7m, razdjelno ostrvo širine 2m i trotoari 2x2m, sa bankinom od 2 x 0,5 m.</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Uprava za saobraćaj</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Uprava za saobraćaj, Direkcija za imovinu Glavnog grada, Uprava za nekretnine, Sekretarijat za planiranje prostora i održivi razvoj, Agencija za izgradnju i razvoj Podgorice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-Postoje neriješeni - imovinsko pravni odnosi. Uslov za realizaciju su prethodno riješeni imovinsko-pravni odnosi, ali zbog dužine saobraćajnice pristupiće se faznoj realizaciji u skladu sa riješenim imovinsko  - pravnim odnosima.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xml:space="preserve">Pozitivno revidovan Glavni projekat usklađen sa eurokodovima i dobijene sve saglasnosti. Uprava za saobraćaj je dva puta objavila Javni poziv za odabir Izvođača radova, međutim oba poziva su poništena. </w:t>
            </w:r>
          </w:p>
        </w:tc>
      </w:tr>
      <w:tr w:rsidR="00595D39" w:rsidTr="00316155">
        <w:trPr>
          <w:gridAfter w:val="3"/>
          <w:wAfter w:w="264" w:type="dxa"/>
          <w:cantSplit/>
          <w:trHeight w:val="607"/>
          <w:tblHeader/>
        </w:trPr>
        <w:tc>
          <w:tcPr>
            <w:tcW w:w="8477"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316155" w:rsidTr="007F5DDB">
        <w:trPr>
          <w:cantSplit/>
          <w:trHeight w:val="459"/>
          <w:tblHeader/>
        </w:trPr>
        <w:tc>
          <w:tcPr>
            <w:tcW w:w="4339"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Projektantski predračun je cca 20.328.000,00€. </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Potrebno uvećati za iznos za rešavanje imovinsko - pravnih odnosa</w:t>
            </w:r>
            <w:r>
              <w:rPr>
                <w:rFonts w:ascii="Times New Roman" w:eastAsia="Times New Roman" w:hAnsi="Times New Roman" w:cs="Times New Roman"/>
                <w:sz w:val="24"/>
                <w:szCs w:val="24"/>
              </w:rPr>
              <w:t>.</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Realizacija predmetnog projekta planirana je po principu učešća 20% Glavni grad i 80% Uprava za saobraćaj.</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077"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3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927"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264" w:type="dxa"/>
            <w:gridSpan w:val="3"/>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1431"/>
          <w:tblHeader/>
        </w:trPr>
        <w:tc>
          <w:tcPr>
            <w:tcW w:w="4339"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07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37" w:type="dxa"/>
            <w:gridSpan w:val="2"/>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910"/>
          <w:tblHeader/>
        </w:trPr>
        <w:tc>
          <w:tcPr>
            <w:tcW w:w="4339"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077"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134"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937" w:type="dxa"/>
            <w:gridSpan w:val="2"/>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607"/>
          <w:tblHeader/>
        </w:trPr>
        <w:tc>
          <w:tcPr>
            <w:tcW w:w="433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p w:rsidR="00E944C2" w:rsidRDefault="00E944C2" w:rsidP="00316155">
            <w:pPr>
              <w:pStyle w:val="Normal1"/>
              <w:jc w:val="both"/>
              <w:rPr>
                <w:rFonts w:ascii="Times New Roman" w:eastAsia="Times New Roman" w:hAnsi="Times New Roman" w:cs="Times New Roman"/>
                <w:sz w:val="24"/>
                <w:szCs w:val="24"/>
              </w:rPr>
            </w:pPr>
          </w:p>
        </w:tc>
        <w:tc>
          <w:tcPr>
            <w:tcW w:w="207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937"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607"/>
          <w:tblHeader/>
        </w:trPr>
        <w:tc>
          <w:tcPr>
            <w:tcW w:w="433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Objavljivanje i sprovođenje Javnog poziva za odabir Izvođača radova i Stručnog nadzora na predmetnoj trasi</w:t>
            </w:r>
          </w:p>
          <w:p w:rsidR="00E944C2" w:rsidRDefault="00E944C2" w:rsidP="00316155">
            <w:pPr>
              <w:pStyle w:val="Normal1"/>
              <w:jc w:val="both"/>
              <w:rPr>
                <w:rFonts w:ascii="Times New Roman" w:eastAsia="Times New Roman" w:hAnsi="Times New Roman" w:cs="Times New Roman"/>
                <w:sz w:val="24"/>
                <w:szCs w:val="24"/>
              </w:rPr>
            </w:pPr>
          </w:p>
        </w:tc>
        <w:tc>
          <w:tcPr>
            <w:tcW w:w="207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Uprava za saobraćaj</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937"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607"/>
          <w:tblHeader/>
        </w:trPr>
        <w:tc>
          <w:tcPr>
            <w:tcW w:w="433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Monitoring nad radovima u dijelu energetike</w:t>
            </w:r>
          </w:p>
        </w:tc>
        <w:tc>
          <w:tcPr>
            <w:tcW w:w="207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CEDIS</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937"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607"/>
          <w:tblHeader/>
        </w:trPr>
        <w:tc>
          <w:tcPr>
            <w:tcW w:w="433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07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937"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607"/>
          <w:tblHeader/>
        </w:trPr>
        <w:tc>
          <w:tcPr>
            <w:tcW w:w="433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07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Uprava za saobraćaj/ 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937" w:type="dxa"/>
            <w:gridSpan w:val="2"/>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5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199" w:type="dxa"/>
          <w:cantSplit/>
          <w:trHeight w:val="686"/>
          <w:tblHeader/>
        </w:trPr>
        <w:tc>
          <w:tcPr>
            <w:tcW w:w="8542" w:type="dxa"/>
            <w:gridSpan w:val="6"/>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F7666C" w:rsidP="00316155">
            <w:pPr>
              <w:pStyle w:val="Normal1"/>
              <w:shd w:val="clear" w:color="auto" w:fill="0070C0"/>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Uslov za realizaciju obilaznice jeste usaglašavanje dalekovoda sa trasom saobraćajnice. Mogućnost fazne izgradnje saobraćajnice u skladu sa stepenom riješenih imovinsko - pravnih odnosa.</w:t>
            </w:r>
          </w:p>
          <w:p w:rsidR="00E944C2" w:rsidRDefault="00E944C2" w:rsidP="00316155">
            <w:pPr>
              <w:pStyle w:val="Normal1"/>
              <w:shd w:val="clear" w:color="auto" w:fill="0070C0"/>
              <w:spacing w:after="0" w:line="240" w:lineRule="auto"/>
              <w:jc w:val="both"/>
              <w:rPr>
                <w:rFonts w:ascii="Times New Roman" w:eastAsia="Times New Roman" w:hAnsi="Times New Roman" w:cs="Times New Roman"/>
                <w:color w:val="FFFFFF"/>
                <w:sz w:val="24"/>
                <w:szCs w:val="24"/>
              </w:rPr>
            </w:pPr>
          </w:p>
        </w:tc>
      </w:tr>
    </w:tbl>
    <w:tbl>
      <w:tblPr>
        <w:tblStyle w:val="50"/>
        <w:tblW w:w="8940" w:type="dxa"/>
        <w:tblInd w:w="100" w:type="dxa"/>
        <w:tblLayout w:type="fixed"/>
        <w:tblLook w:val="04A0"/>
      </w:tblPr>
      <w:tblGrid>
        <w:gridCol w:w="8940"/>
      </w:tblGrid>
      <w:tr w:rsidR="00E944C2" w:rsidTr="00316155">
        <w:trPr>
          <w:cantSplit/>
          <w:trHeight w:val="577"/>
          <w:tblHeader/>
        </w:trPr>
        <w:tc>
          <w:tcPr>
            <w:tcW w:w="8940"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 xml:space="preserve">SPECIFIČNI CILJ I </w:t>
            </w:r>
          </w:p>
        </w:tc>
      </w:tr>
      <w:tr w:rsidR="00E944C2" w:rsidTr="00316155">
        <w:trPr>
          <w:cantSplit/>
          <w:trHeight w:val="865"/>
          <w:tblHeader/>
        </w:trPr>
        <w:tc>
          <w:tcPr>
            <w:tcW w:w="8940"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2-</w:t>
            </w:r>
            <w:r>
              <w:rPr>
                <w:rFonts w:ascii="Times New Roman" w:eastAsia="Times New Roman" w:hAnsi="Times New Roman" w:cs="Times New Roman"/>
                <w:sz w:val="24"/>
                <w:szCs w:val="24"/>
              </w:rPr>
              <w:t xml:space="preserve"> IZGRADNJA BULEVARA VOJISLAVLJEVIĆA</w:t>
            </w:r>
          </w:p>
        </w:tc>
      </w:tr>
      <w:tr w:rsidR="00E944C2" w:rsidTr="00316155">
        <w:trPr>
          <w:cantSplit/>
          <w:trHeight w:val="577"/>
          <w:tblHeader/>
        </w:trPr>
        <w:tc>
          <w:tcPr>
            <w:tcW w:w="8940"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komunalne infrastrukture i djelatnosti. Izgradnjom obilaznice obezbijediće se rasterećenje grada od tranzitnog saobraćaja. Projektni ishod je izradnja još jedne obilaznice čime će se obezbijediti veća bezbjednost saobraćaja, bolja povezanost gradskih cjelina, stvaranje uslova za kvalitetniji javni prevoz putnika.</w:t>
            </w:r>
          </w:p>
          <w:p w:rsidR="00E944C2" w:rsidRDefault="00F7666C" w:rsidP="00316155">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tranzitni tokovi putnika i roba, intenzivniji razvoj naselja u gravitacionoj zoni i veća bezbjednost saobraćaja i saobraćajno rasterećenje.</w:t>
            </w:r>
          </w:p>
          <w:p w:rsidR="00E944C2" w:rsidRDefault="00E944C2" w:rsidP="00316155">
            <w:pPr>
              <w:pStyle w:val="Normal1"/>
              <w:jc w:val="both"/>
              <w:rPr>
                <w:rFonts w:ascii="Times New Roman" w:eastAsia="Times New Roman" w:hAnsi="Times New Roman" w:cs="Times New Roman"/>
                <w:b/>
                <w:color w:val="FFFFFF"/>
                <w:sz w:val="24"/>
                <w:szCs w:val="24"/>
              </w:rPr>
            </w:pPr>
          </w:p>
        </w:tc>
      </w:tr>
      <w:tr w:rsidR="00E944C2" w:rsidTr="00316155">
        <w:trPr>
          <w:cantSplit/>
          <w:trHeight w:val="635"/>
          <w:tblHeader/>
        </w:trPr>
        <w:tc>
          <w:tcPr>
            <w:tcW w:w="8940"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7F5DDB">
            <w:pPr>
              <w:pStyle w:val="Normal1"/>
              <w:widowControl w:val="0"/>
              <w:spacing w:after="0" w:line="240" w:lineRule="auto"/>
              <w:ind w:right="97"/>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Rekonstrukcija ulice od mosta na rijeci Morači do raskrsnice sa kružnim tokom saobraćaja na kojoj se Ulica Vojislavljevića spaja sa Ulicom zetskih vladara, Miniobilaznicom i Ulicom 4. jula.</w:t>
            </w:r>
          </w:p>
          <w:p w:rsidR="00E944C2" w:rsidRDefault="00F7666C" w:rsidP="007F5DDB">
            <w:pPr>
              <w:pStyle w:val="Normal1"/>
              <w:widowControl w:val="0"/>
              <w:spacing w:after="0" w:line="240" w:lineRule="auto"/>
              <w:ind w:right="10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projekat je urađen u skladu sa tada važećom planskom dokumentacijom: DUP “Stambena zajednica VI – Zabjelo” iz 1979.god., Stambena zajednica 7” iz 1979.god., DUP “Zabjelo B” iz 2005.god., DUP “Zabjelo B – oko Tarine garaže” iz 2004.god., DUP “Zabjelo B1” iz 2004.god., DUP “Zabjelo B2” iz 2004.god., DUP “Zabjelo 8” iz 2004.god.</w:t>
            </w:r>
          </w:p>
          <w:p w:rsidR="00E944C2" w:rsidRDefault="00F7666C" w:rsidP="007F5DDB">
            <w:pPr>
              <w:pStyle w:val="Normal1"/>
              <w:widowControl w:val="0"/>
              <w:spacing w:after="0" w:line="240" w:lineRule="auto"/>
              <w:ind w:right="10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Dužina saobraćajnice je cca 2800 m. Širina kolovoznih traka je 7 m (za svaki smjer kretanja predviđene su 2 saobraćajne trake širine po 3,5m).</w:t>
            </w:r>
          </w:p>
          <w:p w:rsidR="00E944C2" w:rsidRDefault="00F7666C" w:rsidP="007F5DDB">
            <w:pPr>
              <w:pStyle w:val="Normal1"/>
              <w:widowControl w:val="0"/>
              <w:spacing w:after="0" w:line="240" w:lineRule="auto"/>
              <w:ind w:right="10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Razdjelno ostrvo je promjenljive širine od 2 do 4,5m. Uz ivice kolovoza nalazi se zeleni pojas promjenljive širine 1 m, uz koji su projektovane biciklističke staze širine 1 m i  trotoari širine 2 m. Od prateće infrastrukture planirani su atmosferska i fekalna kanalizacija, vodovod, tk kanalizacija i javna rasvjeta.</w:t>
            </w:r>
          </w:p>
          <w:p w:rsidR="00E944C2" w:rsidRDefault="00E944C2" w:rsidP="007F5DDB">
            <w:pPr>
              <w:pStyle w:val="Normal1"/>
              <w:widowControl w:val="0"/>
              <w:spacing w:after="0" w:line="240" w:lineRule="auto"/>
              <w:ind w:right="101"/>
              <w:jc w:val="both"/>
              <w:rPr>
                <w:rFonts w:ascii="Times New Roman" w:eastAsia="Times New Roman" w:hAnsi="Times New Roman" w:cs="Times New Roman"/>
                <w:sz w:val="24"/>
                <w:szCs w:val="24"/>
              </w:rPr>
            </w:pPr>
          </w:p>
          <w:p w:rsidR="00E944C2" w:rsidRDefault="00F7666C" w:rsidP="007F5DDB">
            <w:pPr>
              <w:pStyle w:val="Normal1"/>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Uprava za saobraćaj</w:t>
            </w:r>
          </w:p>
          <w:p w:rsidR="00E944C2" w:rsidRDefault="00F7666C" w:rsidP="007F5DDB">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Uprava za saobraćaj, Direkcija za imovinu Glavnog grada, Uprava za nekretnine, Sekretarijat z aplaniranje prostora i održivi razvoj, Agencija za izgradnju i razvoj Podgorice.</w:t>
            </w:r>
          </w:p>
          <w:p w:rsidR="00E944C2" w:rsidRDefault="00E944C2" w:rsidP="007F5DDB">
            <w:pPr>
              <w:pStyle w:val="Normal1"/>
              <w:spacing w:after="0" w:line="240" w:lineRule="auto"/>
              <w:jc w:val="both"/>
              <w:rPr>
                <w:rFonts w:ascii="Times New Roman" w:eastAsia="Times New Roman" w:hAnsi="Times New Roman" w:cs="Times New Roman"/>
                <w:sz w:val="24"/>
                <w:szCs w:val="24"/>
              </w:rPr>
            </w:pPr>
          </w:p>
          <w:p w:rsidR="00E944C2" w:rsidRDefault="00F7666C" w:rsidP="007F5DDB">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-Postoje neriješeni - imovinsko pravni odnosi. Uslov za realizaciju su prethodno riješeni imovinski odnosi. Mogućnost fazne izgradnje saobraćajnice u skladu sa stepenom riješenih imovinsko - pravnih odnosa.</w:t>
            </w:r>
          </w:p>
          <w:p w:rsidR="00E944C2" w:rsidRDefault="00E944C2" w:rsidP="007F5DDB">
            <w:pPr>
              <w:pStyle w:val="Normal1"/>
              <w:spacing w:after="0" w:line="240" w:lineRule="auto"/>
              <w:jc w:val="both"/>
              <w:rPr>
                <w:rFonts w:ascii="Times New Roman" w:eastAsia="Times New Roman" w:hAnsi="Times New Roman" w:cs="Times New Roman"/>
                <w:sz w:val="24"/>
                <w:szCs w:val="24"/>
              </w:rPr>
            </w:pPr>
          </w:p>
          <w:p w:rsidR="00E944C2" w:rsidRDefault="00F7666C" w:rsidP="007F5DDB">
            <w:pPr>
              <w:pStyle w:val="Normal1"/>
              <w:spacing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Glavni projekat usklađen sa eurokodovima i dobijene saglasnosti nadležnih preduzeća. Odabran Izvođač radova nakon sprovedenog Javnog poziva. Radovi na izgradnji bulevara su započeli u maju 2025. godine i još uvijek su u toku.</w:t>
            </w:r>
          </w:p>
          <w:p w:rsidR="00E944C2" w:rsidRDefault="00E944C2" w:rsidP="007F5DDB">
            <w:pPr>
              <w:pStyle w:val="Normal1"/>
              <w:spacing w:line="240" w:lineRule="auto"/>
              <w:jc w:val="both"/>
              <w:rPr>
                <w:rFonts w:ascii="Times New Roman" w:eastAsia="Times New Roman" w:hAnsi="Times New Roman" w:cs="Times New Roman"/>
                <w:sz w:val="24"/>
                <w:szCs w:val="24"/>
              </w:rPr>
            </w:pPr>
          </w:p>
          <w:p w:rsidR="00E944C2" w:rsidRDefault="00E944C2" w:rsidP="007F5DDB">
            <w:pPr>
              <w:pStyle w:val="Normal1"/>
              <w:spacing w:line="240" w:lineRule="auto"/>
              <w:jc w:val="both"/>
              <w:rPr>
                <w:rFonts w:ascii="Times New Roman" w:eastAsia="Times New Roman" w:hAnsi="Times New Roman" w:cs="Times New Roman"/>
                <w:sz w:val="24"/>
                <w:szCs w:val="24"/>
              </w:rPr>
            </w:pPr>
          </w:p>
          <w:p w:rsidR="00E944C2" w:rsidRDefault="00E944C2" w:rsidP="007F5DDB">
            <w:pPr>
              <w:pStyle w:val="Normal1"/>
              <w:spacing w:line="240" w:lineRule="auto"/>
              <w:jc w:val="both"/>
              <w:rPr>
                <w:rFonts w:ascii="Times New Roman" w:eastAsia="Times New Roman" w:hAnsi="Times New Roman" w:cs="Times New Roman"/>
                <w:sz w:val="24"/>
                <w:szCs w:val="24"/>
              </w:rPr>
            </w:pPr>
          </w:p>
          <w:p w:rsidR="00E944C2" w:rsidRDefault="00E944C2" w:rsidP="007F5DDB">
            <w:pPr>
              <w:pStyle w:val="Normal1"/>
              <w:spacing w:line="240" w:lineRule="auto"/>
              <w:jc w:val="both"/>
              <w:rPr>
                <w:rFonts w:ascii="Times New Roman" w:eastAsia="Times New Roman" w:hAnsi="Times New Roman" w:cs="Times New Roman"/>
                <w:sz w:val="24"/>
                <w:szCs w:val="24"/>
              </w:rPr>
            </w:pPr>
          </w:p>
          <w:p w:rsidR="00E944C2" w:rsidRDefault="00E944C2" w:rsidP="007F5DDB">
            <w:pPr>
              <w:pStyle w:val="Normal1"/>
              <w:spacing w:line="240" w:lineRule="auto"/>
              <w:jc w:val="both"/>
              <w:rPr>
                <w:rFonts w:ascii="Times New Roman" w:eastAsia="Times New Roman" w:hAnsi="Times New Roman" w:cs="Times New Roman"/>
                <w:sz w:val="24"/>
                <w:szCs w:val="24"/>
              </w:rPr>
            </w:pPr>
          </w:p>
          <w:p w:rsidR="0023777C" w:rsidRDefault="0023777C" w:rsidP="007F5DDB">
            <w:pPr>
              <w:pStyle w:val="Normal1"/>
              <w:spacing w:line="240" w:lineRule="auto"/>
              <w:jc w:val="both"/>
              <w:rPr>
                <w:rFonts w:ascii="Times New Roman" w:eastAsia="Times New Roman" w:hAnsi="Times New Roman" w:cs="Times New Roman"/>
                <w:sz w:val="24"/>
                <w:szCs w:val="24"/>
              </w:rPr>
            </w:pPr>
          </w:p>
          <w:p w:rsidR="0023777C" w:rsidRDefault="0023777C" w:rsidP="007F5DDB">
            <w:pPr>
              <w:pStyle w:val="Normal1"/>
              <w:spacing w:line="240" w:lineRule="auto"/>
              <w:jc w:val="both"/>
              <w:rPr>
                <w:rFonts w:ascii="Times New Roman" w:eastAsia="Times New Roman" w:hAnsi="Times New Roman" w:cs="Times New Roman"/>
                <w:sz w:val="24"/>
                <w:szCs w:val="24"/>
              </w:rPr>
            </w:pPr>
          </w:p>
          <w:p w:rsidR="0023777C" w:rsidRDefault="0023777C" w:rsidP="007F5DDB">
            <w:pPr>
              <w:pStyle w:val="Normal1"/>
              <w:spacing w:line="240" w:lineRule="auto"/>
              <w:jc w:val="both"/>
              <w:rPr>
                <w:rFonts w:ascii="Times New Roman" w:eastAsia="Times New Roman" w:hAnsi="Times New Roman" w:cs="Times New Roman"/>
                <w:sz w:val="24"/>
                <w:szCs w:val="24"/>
              </w:rPr>
            </w:pPr>
          </w:p>
          <w:p w:rsidR="0023777C" w:rsidRDefault="0023777C" w:rsidP="007F5DDB">
            <w:pPr>
              <w:pStyle w:val="Normal1"/>
              <w:spacing w:line="240" w:lineRule="auto"/>
              <w:jc w:val="both"/>
              <w:rPr>
                <w:rFonts w:ascii="Times New Roman" w:eastAsia="Times New Roman" w:hAnsi="Times New Roman" w:cs="Times New Roman"/>
                <w:sz w:val="24"/>
                <w:szCs w:val="24"/>
              </w:rPr>
            </w:pPr>
          </w:p>
          <w:p w:rsidR="0023777C" w:rsidRDefault="0023777C" w:rsidP="007F5DDB">
            <w:pPr>
              <w:pStyle w:val="Normal1"/>
              <w:spacing w:line="240" w:lineRule="auto"/>
              <w:jc w:val="both"/>
              <w:rPr>
                <w:rFonts w:ascii="Times New Roman" w:eastAsia="Times New Roman" w:hAnsi="Times New Roman" w:cs="Times New Roman"/>
                <w:sz w:val="24"/>
                <w:szCs w:val="24"/>
              </w:rPr>
            </w:pPr>
          </w:p>
          <w:p w:rsidR="00E944C2" w:rsidRDefault="00E944C2" w:rsidP="007F5DDB">
            <w:pPr>
              <w:pStyle w:val="Normal1"/>
              <w:spacing w:line="240" w:lineRule="auto"/>
              <w:jc w:val="both"/>
              <w:rPr>
                <w:rFonts w:ascii="Times New Roman" w:eastAsia="Times New Roman" w:hAnsi="Times New Roman" w:cs="Times New Roman"/>
                <w:sz w:val="24"/>
                <w:szCs w:val="24"/>
              </w:rPr>
            </w:pPr>
          </w:p>
        </w:tc>
      </w:tr>
    </w:tbl>
    <w:p w:rsidR="004D3FA8" w:rsidRDefault="004D3FA8"/>
    <w:tbl>
      <w:tblPr>
        <w:tblStyle w:val="50"/>
        <w:tblW w:w="8940" w:type="dxa"/>
        <w:tblInd w:w="100" w:type="dxa"/>
        <w:tblLayout w:type="fixed"/>
        <w:tblLook w:val="04A0"/>
      </w:tblPr>
      <w:tblGrid>
        <w:gridCol w:w="4666"/>
        <w:gridCol w:w="2033"/>
        <w:gridCol w:w="1134"/>
        <w:gridCol w:w="1057"/>
        <w:gridCol w:w="50"/>
      </w:tblGrid>
      <w:tr w:rsidR="00E944C2" w:rsidTr="00316155">
        <w:trPr>
          <w:cantSplit/>
          <w:trHeight w:val="577"/>
          <w:tblHeader/>
        </w:trPr>
        <w:tc>
          <w:tcPr>
            <w:tcW w:w="8940"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316155" w:rsidTr="007F5DDB">
        <w:trPr>
          <w:cantSplit/>
          <w:trHeight w:val="435"/>
          <w:tblHeader/>
        </w:trPr>
        <w:tc>
          <w:tcPr>
            <w:tcW w:w="4666"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Ugovorena vrijednost radova je cca 14.426.334,50€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Potrebno uvećati za iznos za rešavanje imovinsko - pravnih odnosa</w:t>
            </w:r>
            <w:r>
              <w:rPr>
                <w:rFonts w:ascii="Times New Roman" w:eastAsia="Times New Roman" w:hAnsi="Times New Roman" w:cs="Times New Roman"/>
                <w:sz w:val="24"/>
                <w:szCs w:val="24"/>
              </w:rPr>
              <w:t>.</w:t>
            </w:r>
          </w:p>
          <w:p w:rsidR="00E944C2" w:rsidRDefault="00F7666C" w:rsidP="00316155">
            <w:pPr>
              <w:pStyle w:val="Normal1"/>
              <w:shd w:val="clear" w:color="auto" w:fill="FFFFFF"/>
              <w:jc w:val="both"/>
              <w:rPr>
                <w:rFonts w:ascii="Times New Roman" w:eastAsia="Times New Roman" w:hAnsi="Times New Roman" w:cs="Times New Roman"/>
                <w:sz w:val="24"/>
                <w:szCs w:val="24"/>
                <w:highlight w:val="white"/>
              </w:rPr>
            </w:pPr>
            <w:r>
              <w:rPr>
                <w:rFonts w:ascii="Times New Roman" w:eastAsia="Times New Roman" w:hAnsi="Times New Roman" w:cs="Times New Roman"/>
                <w:sz w:val="24"/>
                <w:szCs w:val="24"/>
                <w:highlight w:val="white"/>
              </w:rPr>
              <w:t xml:space="preserve">Prema Sporazumu, Uprava za saobraćaj će finansirati izgradnju saobraćajnice, uključujući i saobraćajnu signalizaciju (9.127.765,47), dok je Glavni grad zadužen za eksproprijaciju zemljišta i izgradnju komunalne infrastrukture (5.298.569,66) </w:t>
            </w:r>
          </w:p>
          <w:p w:rsidR="00E944C2" w:rsidRDefault="00E944C2" w:rsidP="00316155">
            <w:pPr>
              <w:pStyle w:val="Normal1"/>
              <w:shd w:val="clear" w:color="auto" w:fill="FFFFFF"/>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033"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3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057"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1361"/>
          <w:tblHeader/>
        </w:trPr>
        <w:tc>
          <w:tcPr>
            <w:tcW w:w="4666"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03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57"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65"/>
          <w:tblHeader/>
        </w:trPr>
        <w:tc>
          <w:tcPr>
            <w:tcW w:w="4666"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033"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134"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Datum početka      </w:t>
            </w:r>
          </w:p>
        </w:tc>
        <w:tc>
          <w:tcPr>
            <w:tcW w:w="1057"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7"/>
          <w:tblHeader/>
        </w:trPr>
        <w:tc>
          <w:tcPr>
            <w:tcW w:w="466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p w:rsidR="00E944C2" w:rsidRDefault="00E944C2" w:rsidP="00316155">
            <w:pPr>
              <w:pStyle w:val="Normal1"/>
              <w:jc w:val="both"/>
              <w:rPr>
                <w:rFonts w:ascii="Times New Roman" w:eastAsia="Times New Roman" w:hAnsi="Times New Roman" w:cs="Times New Roman"/>
                <w:sz w:val="24"/>
                <w:szCs w:val="24"/>
              </w:rPr>
            </w:pPr>
          </w:p>
        </w:tc>
        <w:tc>
          <w:tcPr>
            <w:tcW w:w="20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05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7"/>
          <w:tblHeader/>
        </w:trPr>
        <w:tc>
          <w:tcPr>
            <w:tcW w:w="466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0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Uprava za saobraćaj/ 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05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7"/>
          <w:tblHeader/>
        </w:trPr>
        <w:tc>
          <w:tcPr>
            <w:tcW w:w="8940"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F7666C" w:rsidP="00316155">
            <w:pPr>
              <w:pStyle w:val="Normal1"/>
              <w:shd w:val="clear" w:color="auto" w:fill="0070C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color w:val="FFFFFF"/>
                <w:sz w:val="24"/>
                <w:szCs w:val="24"/>
              </w:rPr>
              <w:t>Mogućnost fazne izgradnje saobraćajnice u skladu sa stepenom riješenih imovinsko - pravnih odnosa.</w:t>
            </w: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F7666C" w:rsidP="00316155">
      <w:pPr>
        <w:pStyle w:val="Normal1"/>
        <w:ind w:left="-9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909310" cy="3493770"/>
            <wp:effectExtent l="19050" t="19050" r="15240" b="11430"/>
            <wp:docPr id="10" name="image10.jpg"/>
            <wp:cNvGraphicFramePr/>
            <a:graphic xmlns:a="http://schemas.openxmlformats.org/drawingml/2006/main">
              <a:graphicData uri="http://schemas.openxmlformats.org/drawingml/2006/picture">
                <pic:pic xmlns:pic="http://schemas.openxmlformats.org/drawingml/2006/picture">
                  <pic:nvPicPr>
                    <pic:cNvPr id="10" name="image10.jpg"/>
                    <pic:cNvPicPr preferRelativeResize="0"/>
                  </pic:nvPicPr>
                  <pic:blipFill>
                    <a:blip r:embed="rId15" cstate="print"/>
                    <a:srcRect/>
                    <a:stretch>
                      <a:fillRect/>
                    </a:stretch>
                  </pic:blipFill>
                  <pic:spPr>
                    <a:xfrm>
                      <a:off x="0" y="0"/>
                      <a:ext cx="5905511" cy="3491524"/>
                    </a:xfrm>
                    <a:prstGeom prst="rect">
                      <a:avLst/>
                    </a:prstGeom>
                    <a:ln w="9525">
                      <a:solidFill>
                        <a:srgbClr val="000000"/>
                      </a:solidFill>
                      <a:prstDash val="solid"/>
                    </a:ln>
                  </pic:spPr>
                </pic:pic>
              </a:graphicData>
            </a:graphic>
          </wp:inline>
        </w:drawing>
      </w:r>
    </w:p>
    <w:tbl>
      <w:tblPr>
        <w:tblStyle w:val="49"/>
        <w:tblW w:w="9060" w:type="dxa"/>
        <w:tblInd w:w="100" w:type="dxa"/>
        <w:tblLayout w:type="fixed"/>
        <w:tblLook w:val="04A0"/>
      </w:tblPr>
      <w:tblGrid>
        <w:gridCol w:w="9060"/>
      </w:tblGrid>
      <w:tr w:rsidR="00E944C2" w:rsidTr="00316155">
        <w:trPr>
          <w:cantSplit/>
          <w:trHeight w:val="569"/>
          <w:tblHeader/>
        </w:trPr>
        <w:tc>
          <w:tcPr>
            <w:tcW w:w="9060"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4"/>
          <w:tblHeader/>
        </w:trPr>
        <w:tc>
          <w:tcPr>
            <w:tcW w:w="9060"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3-</w:t>
            </w:r>
            <w:r>
              <w:rPr>
                <w:rFonts w:ascii="Times New Roman" w:eastAsia="Times New Roman" w:hAnsi="Times New Roman" w:cs="Times New Roman"/>
                <w:sz w:val="24"/>
                <w:szCs w:val="24"/>
              </w:rPr>
              <w:t xml:space="preserve"> REKONSTRUKCIJA MOSTA NA TRASI BULEVARA VOJISLAVLJEVIĆA I KRUŽNOG TOKA NA RASKRSNICI PUTEVA ZA CETINJE I NIKŠIĆ</w:t>
            </w:r>
          </w:p>
        </w:tc>
      </w:tr>
      <w:tr w:rsidR="00E944C2" w:rsidTr="00316155">
        <w:trPr>
          <w:cantSplit/>
          <w:trHeight w:val="569"/>
          <w:tblHeader/>
        </w:trPr>
        <w:tc>
          <w:tcPr>
            <w:tcW w:w="9060"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komunalne infrastrukture i djelatnosti. Izgradnja ovog bulevara i novog mosta, uz rekonstrukciju kružne raskrsnice Nikšićkog i Cetinjskog puta, svakako će uticati na protok saobraćaja i eliminaciju, kako ste naveli u svom pitanju, saobraćajnog “čepa” na ovoj lokaciji.</w:t>
            </w:r>
          </w:p>
          <w:p w:rsidR="00E944C2" w:rsidRDefault="00E944C2" w:rsidP="00316155">
            <w:pPr>
              <w:pStyle w:val="Normal1"/>
              <w:jc w:val="both"/>
              <w:rPr>
                <w:rFonts w:ascii="Times New Roman" w:eastAsia="Times New Roman" w:hAnsi="Times New Roman" w:cs="Times New Roman"/>
                <w:b/>
                <w:color w:val="FFFFFF"/>
                <w:sz w:val="24"/>
                <w:szCs w:val="24"/>
              </w:rPr>
            </w:pPr>
          </w:p>
        </w:tc>
      </w:tr>
      <w:tr w:rsidR="00E944C2" w:rsidTr="00316155">
        <w:trPr>
          <w:cantSplit/>
          <w:trHeight w:val="627"/>
          <w:tblHeader/>
        </w:trPr>
        <w:tc>
          <w:tcPr>
            <w:tcW w:w="9060"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hd w:val="clear" w:color="auto" w:fill="FFFFFF"/>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hd w:val="clear" w:color="auto" w:fill="FFFFFF"/>
              <w:jc w:val="both"/>
              <w:rPr>
                <w:rFonts w:ascii="Arial" w:eastAsia="Arial" w:hAnsi="Arial" w:cs="Arial"/>
              </w:rPr>
            </w:pPr>
            <w:r>
              <w:rPr>
                <w:rFonts w:ascii="Times New Roman" w:eastAsia="Times New Roman" w:hAnsi="Times New Roman" w:cs="Times New Roman"/>
                <w:sz w:val="24"/>
                <w:szCs w:val="24"/>
              </w:rPr>
              <w:t>Projektom je predviđena rekonstrukcija postojećeg mosta i izgradnja novog mosta paralelno starom mostu kao i izgradnja novog kružnog toka umjesto postojećeg, montažnog. Zbog potrebe usklađivanja projekta sa propisima Evropske unije (eurokodovima), bilo je neophodno izvršiti izmjenu glavnog projekta. Ukupna dužina saobraćajnice shodno ovom projektu je 650 m sa svom pratećom elektro i hidrotehničkom infrastrukturom. Urađen je Elaborat eksproprijacije i dostavljen na dalju nadležnost Direkciji za imovinu u novembru 2022.godine, za potrebe rješavanja imovinsko-pravnih odnosa.</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Uprava za saobraćaj</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Direkcija za imovinu Glavnog grada, Uprava za nekretnine, Ministarstvo prostornog planiranja, urbanizma i državne imovine, Sekretarijat za planiranje prostora i održivi razvoja, Agencija za izgradnju i razvoj Podgorice.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-Na trasi mosta nema neriješenih imovinsko - pravnih odnosa, dok je za kružnu raskrsnicu potrebno izvršiti eksproprijaciju.</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Pozitivno revidovanGlavni projekat usklađen sa eurokodovima. Uprava za saobraćaj je raspisala Javni poziv za odabir Izvođača radova 27.08.2025. godine a otvaranje ponuda je zakazano za 12.09.2025.godine. Takođe je raspisan Javni poziv za odabir Sručnog nadzora 04.08.2025. godine, a otvaranje je zakazano za 04.09.2025.godine.</w:t>
            </w:r>
          </w:p>
          <w:p w:rsidR="00E944C2" w:rsidRDefault="00E944C2" w:rsidP="00E36C81">
            <w:pPr>
              <w:pStyle w:val="Normal1"/>
              <w:jc w:val="both"/>
              <w:rPr>
                <w:rFonts w:ascii="Times New Roman" w:eastAsia="Times New Roman" w:hAnsi="Times New Roman" w:cs="Times New Roman"/>
                <w:sz w:val="24"/>
                <w:szCs w:val="24"/>
              </w:rPr>
            </w:pPr>
          </w:p>
        </w:tc>
      </w:tr>
    </w:tbl>
    <w:p w:rsidR="0038709E" w:rsidRDefault="0038709E"/>
    <w:tbl>
      <w:tblPr>
        <w:tblStyle w:val="49"/>
        <w:tblW w:w="9060" w:type="dxa"/>
        <w:tblInd w:w="100" w:type="dxa"/>
        <w:tblLayout w:type="fixed"/>
        <w:tblLook w:val="04A0"/>
      </w:tblPr>
      <w:tblGrid>
        <w:gridCol w:w="4311"/>
        <w:gridCol w:w="2407"/>
        <w:gridCol w:w="1257"/>
        <w:gridCol w:w="1035"/>
        <w:gridCol w:w="50"/>
      </w:tblGrid>
      <w:tr w:rsidR="00E944C2" w:rsidTr="00316155">
        <w:trPr>
          <w:cantSplit/>
          <w:trHeight w:val="569"/>
          <w:tblHeader/>
        </w:trPr>
        <w:tc>
          <w:tcPr>
            <w:tcW w:w="9060"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316155" w:rsidTr="004D3FA8">
        <w:trPr>
          <w:cantSplit/>
          <w:trHeight w:val="430"/>
          <w:tblHeader/>
        </w:trPr>
        <w:tc>
          <w:tcPr>
            <w:tcW w:w="4311"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Ponuđena cijena na Javnom pozivu 7.320.500,00 € sa PDV-om</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t>Kapitalni budžet</w:t>
            </w:r>
          </w:p>
        </w:tc>
        <w:tc>
          <w:tcPr>
            <w:tcW w:w="2407"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257"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035"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4D3FA8">
        <w:trPr>
          <w:cantSplit/>
          <w:trHeight w:val="1344"/>
          <w:tblHeader/>
        </w:trPr>
        <w:tc>
          <w:tcPr>
            <w:tcW w:w="4311"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40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5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35"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4D3FA8">
        <w:trPr>
          <w:cantSplit/>
          <w:trHeight w:val="854"/>
          <w:tblHeader/>
        </w:trPr>
        <w:tc>
          <w:tcPr>
            <w:tcW w:w="4311"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407"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257"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035"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cantSplit/>
          <w:trHeight w:val="569"/>
          <w:tblHeader/>
        </w:trPr>
        <w:tc>
          <w:tcPr>
            <w:tcW w:w="4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25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03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cantSplit/>
          <w:trHeight w:val="569"/>
          <w:tblHeader/>
        </w:trPr>
        <w:tc>
          <w:tcPr>
            <w:tcW w:w="4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 Sekretarijat za planiranje prostora i održivi razvoja</w:t>
            </w:r>
          </w:p>
        </w:tc>
        <w:tc>
          <w:tcPr>
            <w:tcW w:w="125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03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cantSplit/>
          <w:trHeight w:val="569"/>
          <w:tblHeader/>
        </w:trPr>
        <w:tc>
          <w:tcPr>
            <w:tcW w:w="4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40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Uprava za saobraćaj/ Agencija za izgradnju i razvoj Podgorice</w:t>
            </w:r>
          </w:p>
        </w:tc>
        <w:tc>
          <w:tcPr>
            <w:tcW w:w="125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03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27"/>
          <w:tblHeader/>
        </w:trPr>
        <w:tc>
          <w:tcPr>
            <w:tcW w:w="9060"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316155">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color w:val="FFFFFF"/>
                <w:sz w:val="24"/>
                <w:szCs w:val="24"/>
              </w:rPr>
              <w:t>Na trasi mosta nema neriješenih imovinsko - pravnih dok je za kružnu raskrsnicu potrebno izvršiti eksproprijaciju.</w:t>
            </w: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718810" cy="4636770"/>
            <wp:effectExtent l="19050" t="19050" r="15240" b="11430"/>
            <wp:docPr id="22" name="image4.jpg"/>
            <wp:cNvGraphicFramePr/>
            <a:graphic xmlns:a="http://schemas.openxmlformats.org/drawingml/2006/main">
              <a:graphicData uri="http://schemas.openxmlformats.org/drawingml/2006/picture">
                <pic:pic xmlns:pic="http://schemas.openxmlformats.org/drawingml/2006/picture">
                  <pic:nvPicPr>
                    <pic:cNvPr id="22" name="image4.jpg"/>
                    <pic:cNvPicPr preferRelativeResize="0"/>
                  </pic:nvPicPr>
                  <pic:blipFill>
                    <a:blip r:embed="rId16" cstate="print"/>
                    <a:srcRect/>
                    <a:stretch>
                      <a:fillRect/>
                    </a:stretch>
                  </pic:blipFill>
                  <pic:spPr>
                    <a:xfrm>
                      <a:off x="0" y="0"/>
                      <a:ext cx="5718129" cy="4636218"/>
                    </a:xfrm>
                    <a:prstGeom prst="rect">
                      <a:avLst/>
                    </a:prstGeom>
                    <a:ln w="9525">
                      <a:solidFill>
                        <a:srgbClr val="000000"/>
                      </a:solidFill>
                      <a:prstDash val="solid"/>
                    </a:ln>
                  </pic:spPr>
                </pic:pic>
              </a:graphicData>
            </a:graphic>
          </wp:inline>
        </w:drawing>
      </w:r>
      <w:r w:rsidR="00290C90" w:rsidRPr="00290C90">
        <w:rPr>
          <w:noProof/>
        </w:rPr>
        <w:pict>
          <v:rect id="Rectangle 6" o:spid="_x0000_s1027" style="position:absolute;left:0;text-align:left;margin-left:149.7pt;margin-top:166.95pt;width:146.1pt;height:176.55pt;rotation:-1629253fd;z-index:25166233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" filled="f" strokecolor="#2f5496" strokeweight="4.5pt">
            <v:stroke startarrowwidth="narrow" startarrowlength="short" endarrowwidth="narrow" endarrowlength="short"/>
            <v:path arrowok="t"/>
            <v:textbox inset="2.53958mm,2.53958mm,2.53958mm,2.53958mm">
              <w:txbxContent>
                <w:p w:rsidR="006A0398" w:rsidRDefault="006A0398">
                  <w:pPr>
                    <w:spacing w:after="0" w:line="240" w:lineRule="auto"/>
                  </w:pPr>
                </w:p>
              </w:txbxContent>
            </v:textbox>
          </v:rect>
        </w:pict>
      </w:r>
    </w:p>
    <w:tbl>
      <w:tblPr>
        <w:tblStyle w:val="48"/>
        <w:tblW w:w="9410" w:type="dxa"/>
        <w:tblInd w:w="100" w:type="dxa"/>
        <w:tblLayout w:type="fixed"/>
        <w:tblLook w:val="04A0"/>
      </w:tblPr>
      <w:tblGrid>
        <w:gridCol w:w="3263"/>
        <w:gridCol w:w="3011"/>
        <w:gridCol w:w="1701"/>
        <w:gridCol w:w="1385"/>
        <w:gridCol w:w="33"/>
        <w:gridCol w:w="17"/>
      </w:tblGrid>
      <w:tr w:rsidR="00E944C2" w:rsidTr="00316155">
        <w:trPr>
          <w:gridAfter w:val="1"/>
          <w:wAfter w:w="17" w:type="dxa"/>
          <w:cantSplit/>
          <w:trHeight w:val="595"/>
          <w:tblHeader/>
        </w:trPr>
        <w:tc>
          <w:tcPr>
            <w:tcW w:w="9393"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17" w:type="dxa"/>
          <w:cantSplit/>
          <w:trHeight w:val="892"/>
          <w:tblHeader/>
        </w:trPr>
        <w:tc>
          <w:tcPr>
            <w:tcW w:w="9393" w:type="dxa"/>
            <w:gridSpan w:val="5"/>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4-</w:t>
            </w:r>
            <w:r>
              <w:rPr>
                <w:rFonts w:ascii="Times New Roman" w:eastAsia="Times New Roman" w:hAnsi="Times New Roman" w:cs="Times New Roman"/>
                <w:sz w:val="24"/>
                <w:szCs w:val="24"/>
              </w:rPr>
              <w:t xml:space="preserve"> IZGRADNJA NASTAVKA BULEVARA SAVE KOVAČEVIĆA SA DENIVELISANOM SAOBRAĆAJNICOM PREMA STAROM AERODROMU</w:t>
            </w:r>
          </w:p>
        </w:tc>
      </w:tr>
      <w:tr w:rsidR="00E944C2" w:rsidTr="00316155">
        <w:trPr>
          <w:gridAfter w:val="1"/>
          <w:wAfter w:w="17" w:type="dxa"/>
          <w:cantSplit/>
          <w:trHeight w:val="595"/>
          <w:tblHeader/>
        </w:trPr>
        <w:tc>
          <w:tcPr>
            <w:tcW w:w="9393"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E36C81">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widowControl w:val="0"/>
              <w:spacing w:after="0" w:line="225"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komunalne infrastrukture i djelatnosti. Bolje saobraćajno rešenje.</w:t>
            </w:r>
          </w:p>
          <w:p w:rsidR="00E944C2" w:rsidRDefault="00F7666C" w:rsidP="00E36C81">
            <w:pPr>
              <w:pStyle w:val="Normal1"/>
              <w:widowControl w:val="0"/>
              <w:spacing w:after="0" w:line="225"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indikatrori : bolja komunalna opremljenost, saobraćajno povezivanje i uređenje ovog područja, smanjenje saobraćajnih gužvi, veći protok saobraćaja.</w:t>
            </w:r>
          </w:p>
          <w:p w:rsidR="00E944C2" w:rsidRDefault="00E944C2" w:rsidP="00316155">
            <w:pPr>
              <w:pStyle w:val="Normal1"/>
              <w:widowControl w:val="0"/>
              <w:spacing w:after="0" w:line="225" w:lineRule="auto"/>
              <w:jc w:val="both"/>
              <w:rPr>
                <w:rFonts w:ascii="Times New Roman" w:eastAsia="Times New Roman" w:hAnsi="Times New Roman" w:cs="Times New Roman"/>
                <w:color w:val="FFFFFF"/>
                <w:sz w:val="24"/>
                <w:szCs w:val="24"/>
              </w:rPr>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gridAfter w:val="1"/>
          <w:wAfter w:w="17" w:type="dxa"/>
          <w:cantSplit/>
          <w:trHeight w:val="655"/>
          <w:tblHeader/>
        </w:trPr>
        <w:tc>
          <w:tcPr>
            <w:tcW w:w="9393" w:type="dxa"/>
            <w:gridSpan w:val="5"/>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widowControl w:val="0"/>
              <w:spacing w:after="0" w:line="225"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Saobraćajnica bulevarskog tipa koja treba da poveže naselje Stari aerodrom sa Bulevarom Save Kovačevića. Veza preko pruge u dužini od cca 500m.</w:t>
            </w: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 za planiranje prostora i održivi razvoj; Uprava za željeznice, Direkcija za imovinu, Uprava za nekretnine, Ministarstvo prostornog planiranja, urbanizma i državne imovine, Ministarstvo Javnih radova</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Postoje neriješeni imovinsko – pravni odnosi. Uslov za realizaciju su prethodno riješeni imovinsko pravni odnosi.</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Izmjenama i dopunama Prostornog plana Glavnog grada planirana je izgradnja denivelisane saobraćajnice kao nastavak bulevara Save Kovačevića prem starom Aerodromu.Shodnonavedenom, biće sprovedena procedura na izradi tehničke dokumenrtacije.</w:t>
            </w:r>
          </w:p>
        </w:tc>
      </w:tr>
      <w:tr w:rsidR="00E944C2" w:rsidTr="00316155">
        <w:trPr>
          <w:gridAfter w:val="1"/>
          <w:wAfter w:w="17" w:type="dxa"/>
          <w:cantSplit/>
          <w:trHeight w:val="595"/>
          <w:tblHeader/>
        </w:trPr>
        <w:tc>
          <w:tcPr>
            <w:tcW w:w="9393"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595D39" w:rsidTr="004D3FA8">
        <w:trPr>
          <w:cantSplit/>
          <w:trHeight w:val="449"/>
          <w:tblHeader/>
        </w:trPr>
        <w:tc>
          <w:tcPr>
            <w:tcW w:w="3263"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9.000.000,00 €</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Kapitalni budžet i Budžet Glavnog grada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301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0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385"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1403"/>
          <w:tblHeader/>
        </w:trPr>
        <w:tc>
          <w:tcPr>
            <w:tcW w:w="3263"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301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85"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4D3FA8">
        <w:trPr>
          <w:cantSplit/>
          <w:trHeight w:val="892"/>
          <w:tblHeader/>
        </w:trPr>
        <w:tc>
          <w:tcPr>
            <w:tcW w:w="3263"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3011"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385"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gridSpan w:val="2"/>
            <w:vAlign w:val="center"/>
          </w:tcPr>
          <w:p w:rsidR="00E944C2" w:rsidRDefault="00E944C2" w:rsidP="00E36C81">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Izdavanje Odluke od opšteg interesa sa elementima Urbanističko - tehničkih uslova po usvojenim izmjenama i dopunama PUP-a Podgorice</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Objavljivanje i sprovođenje Javnog poziva za izradu Idejnog rešenja i Glavnog projekta </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Objavljivanje i sprovođenje Javnog poziva za odabir Izvođača radova i Stručnog nadzora na predmetnoj trasi</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Ministarstvo javnih radova </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imovinsko-pravnih odnosa na trasi</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 Sekretarijat za planiranje prostora i održivi razvoja</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595D39" w:rsidTr="004D3FA8">
        <w:trPr>
          <w:cantSplit/>
          <w:trHeight w:val="595"/>
          <w:tblHeader/>
        </w:trPr>
        <w:tc>
          <w:tcPr>
            <w:tcW w:w="326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30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 Ministarstvo javnih radova</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3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17" w:type="dxa"/>
          <w:cantSplit/>
          <w:trHeight w:val="595"/>
          <w:tblHeader/>
        </w:trPr>
        <w:tc>
          <w:tcPr>
            <w:tcW w:w="9393"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521111" cy="4234815"/>
            <wp:effectExtent l="19050" t="19050" r="22439" b="13335"/>
            <wp:docPr id="19" name="image2.jpg"/>
            <wp:cNvGraphicFramePr/>
            <a:graphic xmlns:a="http://schemas.openxmlformats.org/drawingml/2006/main">
              <a:graphicData uri="http://schemas.openxmlformats.org/drawingml/2006/picture">
                <pic:pic xmlns:pic="http://schemas.openxmlformats.org/drawingml/2006/picture">
                  <pic:nvPicPr>
                    <pic:cNvPr id="19" name="image2.jpg"/>
                    <pic:cNvPicPr preferRelativeResize="0"/>
                  </pic:nvPicPr>
                  <pic:blipFill>
                    <a:blip r:embed="rId17" cstate="print"/>
                    <a:srcRect/>
                    <a:stretch>
                      <a:fillRect/>
                    </a:stretch>
                  </pic:blipFill>
                  <pic:spPr>
                    <a:xfrm>
                      <a:off x="0" y="0"/>
                      <a:ext cx="5520453" cy="4234310"/>
                    </a:xfrm>
                    <a:prstGeom prst="rect">
                      <a:avLst/>
                    </a:prstGeom>
                    <a:ln w="9525">
                      <a:solidFill>
                        <a:srgbClr val="000000"/>
                      </a:solidFill>
                      <a:prstDash val="solid"/>
                    </a:ln>
                  </pic:spPr>
                </pic:pic>
              </a:graphicData>
            </a:graphic>
          </wp:inline>
        </w:drawing>
      </w:r>
      <w:r w:rsidR="00290C90" w:rsidRPr="00290C90">
        <w:rPr>
          <w:noProof/>
        </w:rPr>
        <w:pict>
          <v:rect id="Rectangle 5" o:spid="_x0000_s1028" style="position:absolute;left:0;text-align:left;margin-left:301.2pt;margin-top:187.65pt;width:174.4pt;height:136.75pt;rotation:7259101fd;z-index:251663360;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" filled="f" strokecolor="#2f5496" strokeweight="4.5pt">
            <v:stroke startarrowwidth="narrow" startarrowlength="short" endarrowwidth="narrow" endarrowlength="short"/>
            <v:path arrowok="t"/>
            <v:textbox inset="2.53958mm,2.53958mm,2.53958mm,2.53958mm">
              <w:txbxContent>
                <w:p w:rsidR="006A0398" w:rsidRDefault="006A0398">
                  <w:pPr>
                    <w:spacing w:after="0" w:line="240" w:lineRule="auto"/>
                  </w:pPr>
                </w:p>
              </w:txbxContent>
            </v:textbox>
          </v:rect>
        </w:pict>
      </w:r>
    </w:p>
    <w:tbl>
      <w:tblPr>
        <w:tblStyle w:val="47"/>
        <w:tblW w:w="13198" w:type="dxa"/>
        <w:tblInd w:w="100" w:type="dxa"/>
        <w:tblLayout w:type="fixed"/>
        <w:tblLook w:val="04A0"/>
      </w:tblPr>
      <w:tblGrid>
        <w:gridCol w:w="3014"/>
        <w:gridCol w:w="2410"/>
        <w:gridCol w:w="1559"/>
        <w:gridCol w:w="1701"/>
        <w:gridCol w:w="192"/>
        <w:gridCol w:w="4322"/>
      </w:tblGrid>
      <w:tr w:rsidR="00E944C2" w:rsidTr="004D3FA8">
        <w:trPr>
          <w:gridAfter w:val="2"/>
          <w:wAfter w:w="4514" w:type="dxa"/>
          <w:cantSplit/>
          <w:trHeight w:val="572"/>
          <w:tblHeader/>
        </w:trPr>
        <w:tc>
          <w:tcPr>
            <w:tcW w:w="8684"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gridAfter w:val="2"/>
          <w:wAfter w:w="4514" w:type="dxa"/>
          <w:cantSplit/>
          <w:trHeight w:val="858"/>
          <w:tblHeader/>
        </w:trPr>
        <w:tc>
          <w:tcPr>
            <w:tcW w:w="8684"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5-</w:t>
            </w:r>
            <w:r>
              <w:rPr>
                <w:rFonts w:ascii="Times New Roman" w:eastAsia="Times New Roman" w:hAnsi="Times New Roman" w:cs="Times New Roman"/>
                <w:sz w:val="24"/>
                <w:szCs w:val="24"/>
              </w:rPr>
              <w:t xml:space="preserve"> REKONSTRUKCIJA ULICE II CRNOGORSKOG BATALJONA</w:t>
            </w:r>
          </w:p>
        </w:tc>
      </w:tr>
      <w:tr w:rsidR="00E944C2" w:rsidTr="004D3FA8">
        <w:trPr>
          <w:gridAfter w:val="2"/>
          <w:wAfter w:w="4514" w:type="dxa"/>
          <w:cantSplit/>
          <w:trHeight w:val="572"/>
          <w:tblHeader/>
        </w:trPr>
        <w:tc>
          <w:tcPr>
            <w:tcW w:w="8684"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316155">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Cilj projekta je dalji razvoj i unapređenje komunalne infrastrukture i djelatnosti. Osnovna namjera projekta je da se rastereti saobraćaj u dijelu grada – naselja Zagorič, Maslina, Zlatice, koji će uobličavanjem tj. usmjeravanjem saobraćaja na široki koridor saobraćajnice. Dodatni razlozi za realizaciju ovog značajnog projekta su: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Rješavanje trenutnih problema koje građani centralnog gradskog jezgra imaju u pogledu saobraćajnih gužvi;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Stvaranje preduslova za dalji razvoj grada;</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Stvaranje povoljnijih uslova za rad i život u neposrednoj okolini;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Oživljavanje predmetne lokacije i njene okoline;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Vrednovanje istorijskih, socioloških, kulturoloških i funkcionalnih zahtjeva ovog prostora;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Finansijska dobit; </w:t>
            </w:r>
          </w:p>
          <w:p w:rsidR="00E944C2" w:rsidRDefault="00F7666C" w:rsidP="00E36C81">
            <w:pPr>
              <w:pStyle w:val="Normal1"/>
              <w:numPr>
                <w:ilvl w:val="0"/>
                <w:numId w:val="26"/>
              </w:numPr>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Povećanje broja radnih mjesta; </w:t>
            </w:r>
          </w:p>
          <w:p w:rsidR="00E944C2" w:rsidRPr="004D3FA8" w:rsidRDefault="00F7666C" w:rsidP="004D3FA8">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Rekonstruisana ulica, veća bezbjednost saobraćaja, manje saobraćajne gužve</w:t>
            </w:r>
          </w:p>
        </w:tc>
      </w:tr>
      <w:tr w:rsidR="00E944C2" w:rsidTr="004D3FA8">
        <w:trPr>
          <w:gridAfter w:val="2"/>
          <w:wAfter w:w="4514" w:type="dxa"/>
          <w:cantSplit/>
          <w:trHeight w:val="630"/>
          <w:tblHeader/>
        </w:trPr>
        <w:tc>
          <w:tcPr>
            <w:tcW w:w="8684"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Postojeća saobraćajnica je prosječne širine 6.5m, sa obostranim trotoarima promjenljive širine.</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Rekonstrukcija predmetne saobraćajnice podrazumijeva proširenje postojećih gabarita dvotračnog poprečnog profila u cilju formiranja saobraćajnice bulevarskog tipa sa razdjelnim pojasom. Građevinska intervencija pretpostavlja i potpunu rekonstrukciju postojeće kolovozne konstrukcije. Dužina dijela Ulice II Crnogorskog bataljona koja je predmet ove tehničke dokumentacije je 450 m. U okviru dokumentacije obrađeni su i saobraćajni priključci na novoprojektovani bulevar kao i kružna raskrsnica. Širina ulice iznosi 18.5m, koja obuhvata kolovozne trake širine 6.50 m sa obe strane razdjelnog pojasa.</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Direkcija za imovinu/ Uprava za nekretnine,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-Postoje neriješeni - imovinsko pravni odnosi. Uslov za realizaciju su prethodno riješeni imovinsko pravni odnosi.</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-Glavni projekat pozitivno revidovan.</w:t>
            </w:r>
          </w:p>
        </w:tc>
      </w:tr>
      <w:tr w:rsidR="00E944C2" w:rsidTr="004D3FA8">
        <w:trPr>
          <w:gridAfter w:val="2"/>
          <w:wAfter w:w="4514" w:type="dxa"/>
          <w:cantSplit/>
          <w:trHeight w:val="572"/>
          <w:tblHeader/>
        </w:trPr>
        <w:tc>
          <w:tcPr>
            <w:tcW w:w="8684"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014"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2.500.000,00€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2410"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59"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701"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4D3FA8">
            <w:pPr>
              <w:pStyle w:val="Normal1"/>
              <w:spacing w:after="0" w:line="240" w:lineRule="auto"/>
              <w:ind w:right="-3716"/>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4514" w:type="dxa"/>
            <w:gridSpan w:val="2"/>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gridAfter w:val="1"/>
          <w:wAfter w:w="4322" w:type="dxa"/>
          <w:cantSplit/>
          <w:trHeight w:val="1350"/>
          <w:tblHeader/>
        </w:trPr>
        <w:tc>
          <w:tcPr>
            <w:tcW w:w="3014"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4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gridAfter w:val="1"/>
          <w:wAfter w:w="4322" w:type="dxa"/>
          <w:cantSplit/>
          <w:trHeight w:val="858"/>
          <w:tblHeader/>
        </w:trPr>
        <w:tc>
          <w:tcPr>
            <w:tcW w:w="3014"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410"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559"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701"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gridAfter w:val="1"/>
          <w:wAfter w:w="4322" w:type="dxa"/>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gridAfter w:val="1"/>
          <w:wAfter w:w="4322" w:type="dxa"/>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jc w:val="both"/>
              <w:rPr>
                <w:rFonts w:ascii="Times New Roman" w:eastAsia="Times New Roman" w:hAnsi="Times New Roman" w:cs="Times New Roman"/>
                <w:sz w:val="24"/>
                <w:szCs w:val="24"/>
              </w:rPr>
            </w:pP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gridAfter w:val="1"/>
          <w:wAfter w:w="4322" w:type="dxa"/>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gridAfter w:val="1"/>
          <w:wAfter w:w="4322" w:type="dxa"/>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41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gridAfter w:val="2"/>
          <w:wAfter w:w="4514" w:type="dxa"/>
          <w:cantSplit/>
          <w:trHeight w:val="572"/>
          <w:tblHeader/>
        </w:trPr>
        <w:tc>
          <w:tcPr>
            <w:tcW w:w="8684"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946710" cy="3799489"/>
            <wp:effectExtent l="19050" t="19050" r="16510" b="10795"/>
            <wp:docPr id="13" name="image7.jpg"/>
            <wp:cNvGraphicFramePr/>
            <a:graphic xmlns:a="http://schemas.openxmlformats.org/drawingml/2006/main">
              <a:graphicData uri="http://schemas.openxmlformats.org/drawingml/2006/picture">
                <pic:pic xmlns:pic="http://schemas.openxmlformats.org/drawingml/2006/picture">
                  <pic:nvPicPr>
                    <pic:cNvPr id="13" name="image7.jpg"/>
                    <pic:cNvPicPr preferRelativeResize="0"/>
                  </pic:nvPicPr>
                  <pic:blipFill>
                    <a:blip r:embed="rId18" cstate="print"/>
                    <a:srcRect/>
                    <a:stretch>
                      <a:fillRect/>
                    </a:stretch>
                  </pic:blipFill>
                  <pic:spPr>
                    <a:xfrm>
                      <a:off x="0" y="0"/>
                      <a:ext cx="5956530" cy="3805763"/>
                    </a:xfrm>
                    <a:prstGeom prst="rect">
                      <a:avLst/>
                    </a:prstGeom>
                    <a:ln w="9525">
                      <a:solidFill>
                        <a:srgbClr val="000000"/>
                      </a:solidFill>
                      <a:prstDash val="solid"/>
                    </a:ln>
                  </pic:spPr>
                </pic:pic>
              </a:graphicData>
            </a:graphic>
          </wp:inline>
        </w:drawing>
      </w:r>
    </w:p>
    <w:tbl>
      <w:tblPr>
        <w:tblStyle w:val="46"/>
        <w:tblW w:w="8967" w:type="dxa"/>
        <w:tblInd w:w="100" w:type="dxa"/>
        <w:tblLayout w:type="fixed"/>
        <w:tblLook w:val="04A0"/>
      </w:tblPr>
      <w:tblGrid>
        <w:gridCol w:w="8967"/>
      </w:tblGrid>
      <w:tr w:rsidR="00E944C2" w:rsidTr="00316155">
        <w:trPr>
          <w:cantSplit/>
          <w:trHeight w:val="572"/>
          <w:tblHeader/>
        </w:trPr>
        <w:tc>
          <w:tcPr>
            <w:tcW w:w="8967"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8967"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6-</w:t>
            </w:r>
            <w:r>
              <w:rPr>
                <w:rFonts w:ascii="Times New Roman" w:eastAsia="Times New Roman" w:hAnsi="Times New Roman" w:cs="Times New Roman"/>
                <w:sz w:val="24"/>
                <w:szCs w:val="24"/>
              </w:rPr>
              <w:t xml:space="preserve"> UREĐENJE ŠETALIŠTA UZ RIJEKU MORAČU, SA OBIJE STRANE- OD MOSTA MILENIJUM DO PJEŠAČKOG MOSTA U ZAGORIČU</w:t>
            </w:r>
          </w:p>
        </w:tc>
      </w:tr>
      <w:tr w:rsidR="00E944C2" w:rsidTr="00316155">
        <w:trPr>
          <w:cantSplit/>
          <w:trHeight w:val="572"/>
          <w:tblHeader/>
        </w:trPr>
        <w:tc>
          <w:tcPr>
            <w:tcW w:w="8967"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valorizacija potencijale lokacije, posebno izuzetnih ekoloških potencijala kroz set mogućih intervencija koje su istovremeno suptilne i maštovite. Pedviđene su dobro pozicionirane i savremeno osmišljene intervencije koje pomažu u otkrivanju kvaliteta lokacije. Rješenje teži da uspostavi dijalog grada i Morače bez pretenzija da nametne karakter jednog prostora drugom. Ovaj projekat predstavlja potencijal kako veoma specifično lokalno stanje može postati globalan dizajn model.</w:t>
            </w:r>
          </w:p>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U gotovo svim evropskim prijestonicama izgrađenim na rijekama, rijeke su kroz istoriju bile duboko manipulisane, kroćene, izgrađene i urbanizovane, dok je u Podgorici, zbog jedinstvene morfologije korita i istorijskih pristupa urbanom planiranju, Morača opstajala kao gotovo netaknuta, neukroćena divljina usred grada.</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color w:val="FFFFFF"/>
                <w:sz w:val="24"/>
                <w:szCs w:val="24"/>
              </w:rPr>
              <w:t>Cilj projekta je da se afirmiše raznovrstan život na otvorenom i boravak u prirodi.  Smisao projekta je da bude i pokretač za revitalizaciju, adaptaciju i uređenje obalnog prostora u koordinaciji sa uređenjem faze I i uređenjem faze II.</w:t>
            </w:r>
          </w:p>
          <w:p w:rsidR="00E944C2" w:rsidRDefault="00E944C2" w:rsidP="00316155">
            <w:pPr>
              <w:pStyle w:val="Normal1"/>
              <w:spacing w:after="0"/>
              <w:jc w:val="both"/>
              <w:rPr>
                <w:rFonts w:ascii="Times New Roman" w:eastAsia="Times New Roman" w:hAnsi="Times New Roman" w:cs="Times New Roman"/>
                <w:sz w:val="24"/>
                <w:szCs w:val="24"/>
              </w:rPr>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8967"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ind w:right="112"/>
              <w:jc w:val="both"/>
              <w:rPr>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Radi se o trećoj fazi šetališta uz obalu rijeke Morače od mosta Milenijum do mosta Andrije Kažića sa jedne i od mosta Andrije kažia do mosta Milenijum sa druge strane u dužini od oko cca 2000m. Glavni projekat će se raditi u skladu sa Konkursnim rešenjem koji je sproveden u ranijem periodu.</w:t>
            </w:r>
          </w:p>
          <w:p w:rsidR="00E944C2" w:rsidRDefault="00E944C2" w:rsidP="00E36C81">
            <w:pPr>
              <w:pStyle w:val="Normal1"/>
              <w:widowControl w:val="0"/>
              <w:spacing w:after="0" w:line="225"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Direkcija za imovinu/ Uprava za nekretnine,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xml:space="preserve">:  Djelimično je obezbijeđeno zemljište, a u jednom dijelu je potrebno, u skladu sa važećom procedurom pristupiti rješavanju imovinsko – pravnih odnosa. </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Pripremljena tenderska dokumentacija za izradu projekta. U toku procedura za objavljivanje Javnog poziva za izradu Glavnog projekta.</w:t>
            </w:r>
          </w:p>
        </w:tc>
      </w:tr>
    </w:tbl>
    <w:p w:rsidR="00751D26" w:rsidRDefault="00751D26"/>
    <w:tbl>
      <w:tblPr>
        <w:tblStyle w:val="46"/>
        <w:tblW w:w="8967" w:type="dxa"/>
        <w:tblInd w:w="100" w:type="dxa"/>
        <w:tblLayout w:type="fixed"/>
        <w:tblLook w:val="04A0"/>
      </w:tblPr>
      <w:tblGrid>
        <w:gridCol w:w="2311"/>
        <w:gridCol w:w="2829"/>
        <w:gridCol w:w="1701"/>
        <w:gridCol w:w="1985"/>
        <w:gridCol w:w="141"/>
      </w:tblGrid>
      <w:tr w:rsidR="00E944C2" w:rsidTr="00316155">
        <w:trPr>
          <w:cantSplit/>
          <w:trHeight w:val="572"/>
          <w:tblHeader/>
        </w:trPr>
        <w:tc>
          <w:tcPr>
            <w:tcW w:w="8967"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2311"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4.500.000,00€</w:t>
            </w:r>
          </w:p>
          <w:p w:rsidR="00E944C2" w:rsidRDefault="00F7666C" w:rsidP="00316155">
            <w:pPr>
              <w:pStyle w:val="Normal1"/>
              <w:shd w:val="clear" w:color="auto" w:fill="FFFFFF"/>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829"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0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985"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2311"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82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85"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2311"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829"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985"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izradu i reviziju Glavnog projekta </w:t>
            </w:r>
          </w:p>
          <w:p w:rsidR="00E944C2" w:rsidRDefault="00E944C2" w:rsidP="00316155">
            <w:pPr>
              <w:pStyle w:val="Normal1"/>
              <w:jc w:val="both"/>
              <w:rPr>
                <w:rFonts w:ascii="Times New Roman" w:eastAsia="Times New Roman" w:hAnsi="Times New Roman" w:cs="Times New Roman"/>
                <w:sz w:val="24"/>
                <w:szCs w:val="24"/>
              </w:rPr>
            </w:pPr>
          </w:p>
        </w:tc>
        <w:tc>
          <w:tcPr>
            <w:tcW w:w="282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tc>
        <w:tc>
          <w:tcPr>
            <w:tcW w:w="282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jc w:val="both"/>
              <w:rPr>
                <w:rFonts w:ascii="Times New Roman" w:eastAsia="Times New Roman" w:hAnsi="Times New Roman" w:cs="Times New Roman"/>
                <w:sz w:val="24"/>
                <w:szCs w:val="24"/>
              </w:rPr>
            </w:pPr>
          </w:p>
        </w:tc>
        <w:tc>
          <w:tcPr>
            <w:tcW w:w="282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82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82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8967"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color w:val="FFFFFF"/>
                <w:sz w:val="24"/>
                <w:szCs w:val="24"/>
              </w:rPr>
              <w:t>Dodatne napomene</w:t>
            </w:r>
          </w:p>
        </w:tc>
      </w:tr>
    </w:tbl>
    <w:p w:rsidR="00E944C2" w:rsidRDefault="00F7666C" w:rsidP="00316155">
      <w:pPr>
        <w:pStyle w:val="Normal1"/>
        <w:jc w:val="both"/>
        <w:rPr>
          <w:sz w:val="24"/>
          <w:szCs w:val="24"/>
        </w:rPr>
      </w:pPr>
      <w:r>
        <w:rPr>
          <w:noProof/>
          <w:sz w:val="24"/>
          <w:szCs w:val="24"/>
          <w:lang w:val="en-US" w:eastAsia="en-US"/>
        </w:rPr>
        <w:drawing>
          <wp:inline distT="0" distB="0" distL="0" distR="0">
            <wp:extent cx="6497955" cy="4775835"/>
            <wp:effectExtent l="19050" t="19050" r="17145" b="24765"/>
            <wp:docPr id="7" name="image6.jpg"/>
            <wp:cNvGraphicFramePr/>
            <a:graphic xmlns:a="http://schemas.openxmlformats.org/drawingml/2006/main">
              <a:graphicData uri="http://schemas.openxmlformats.org/drawingml/2006/picture">
                <pic:pic xmlns:pic="http://schemas.openxmlformats.org/drawingml/2006/picture">
                  <pic:nvPicPr>
                    <pic:cNvPr id="7" name="image6.jpg"/>
                    <pic:cNvPicPr preferRelativeResize="0"/>
                  </pic:nvPicPr>
                  <pic:blipFill>
                    <a:blip r:embed="rId19" cstate="print"/>
                    <a:srcRect/>
                    <a:stretch>
                      <a:fillRect/>
                    </a:stretch>
                  </pic:blipFill>
                  <pic:spPr>
                    <a:xfrm>
                      <a:off x="0" y="0"/>
                      <a:ext cx="6499769" cy="4777168"/>
                    </a:xfrm>
                    <a:prstGeom prst="rect">
                      <a:avLst/>
                    </a:prstGeom>
                    <a:ln w="9525">
                      <a:solidFill>
                        <a:srgbClr val="000000"/>
                      </a:solidFill>
                      <a:prstDash val="solid"/>
                    </a:ln>
                  </pic:spPr>
                </pic:pic>
              </a:graphicData>
            </a:graphic>
          </wp:inline>
        </w:drawing>
      </w:r>
    </w:p>
    <w:p w:rsidR="00E944C2" w:rsidRDefault="00E944C2" w:rsidP="00316155">
      <w:pPr>
        <w:pStyle w:val="Normal1"/>
        <w:jc w:val="both"/>
        <w:rPr>
          <w:sz w:val="24"/>
          <w:szCs w:val="24"/>
        </w:rPr>
      </w:pPr>
    </w:p>
    <w:tbl>
      <w:tblPr>
        <w:tblStyle w:val="45"/>
        <w:tblW w:w="8967" w:type="dxa"/>
        <w:tblInd w:w="100" w:type="dxa"/>
        <w:tblLayout w:type="fixed"/>
        <w:tblLook w:val="04A0"/>
      </w:tblPr>
      <w:tblGrid>
        <w:gridCol w:w="8967"/>
      </w:tblGrid>
      <w:tr w:rsidR="00E944C2" w:rsidTr="00316155">
        <w:trPr>
          <w:cantSplit/>
          <w:trHeight w:val="572"/>
          <w:tblHeader/>
        </w:trPr>
        <w:tc>
          <w:tcPr>
            <w:tcW w:w="8967"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8967"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7-</w:t>
            </w:r>
            <w:r>
              <w:rPr>
                <w:rFonts w:ascii="Times New Roman" w:eastAsia="Times New Roman" w:hAnsi="Times New Roman" w:cs="Times New Roman"/>
                <w:sz w:val="24"/>
                <w:szCs w:val="24"/>
              </w:rPr>
              <w:t xml:space="preserve"> UREĐENJE ŠETALIŠTA UZ RIJEKU RIBNICU, SA OBIJE STRANE, II i III cjelina</w:t>
            </w:r>
          </w:p>
        </w:tc>
      </w:tr>
      <w:tr w:rsidR="00E944C2" w:rsidTr="00316155">
        <w:trPr>
          <w:cantSplit/>
          <w:trHeight w:val="572"/>
          <w:tblHeader/>
        </w:trPr>
        <w:tc>
          <w:tcPr>
            <w:tcW w:w="8967"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316155">
            <w:pPr>
              <w:pStyle w:val="Normal1"/>
              <w:spacing w:after="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Namjera projekta je da se obezbijedi dobra povezanost korisnika i prirode kao i da se prostor privede namjeni u smislu da se jasno formira prostor i uredi obalno područje. Neuređeni prostor koji će valorizacijom postati još jedna “zelena” reperna tačka u Glavnom gradu. </w:t>
            </w:r>
          </w:p>
          <w:p w:rsidR="00E944C2" w:rsidRDefault="00F7666C" w:rsidP="00E36C81">
            <w:pPr>
              <w:pStyle w:val="Normal1"/>
              <w:spacing w:after="120"/>
              <w:ind w:right="115"/>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izrade je izrada kvalitetnog Glavnog projekta za dugo iščekivano uređenje degradiranog korita Ribnice, sa posebnim osvrtom na uklapanje postojećih uređenih fragmenata u jednu cjelinu i prijedlogom rekonstrukcije starog mlina u cilju kreiranja autentičnog ugostiteljskog objekta kao jedne od repernih tačaka lokacije. Veoma važan segment projekta jesu i konekcije obala sa okolnim terenom, kako sa parkovskim površinama tako i sa urbanim tkivom u cilju postizanja dostupnosti rječnog korita za sve grupe građana.</w:t>
            </w:r>
          </w:p>
          <w:p w:rsidR="00E944C2" w:rsidRDefault="00F7666C" w:rsidP="00E36C81">
            <w:pPr>
              <w:pStyle w:val="Normal1"/>
              <w:spacing w:after="120"/>
              <w:ind w:right="115"/>
              <w:jc w:val="both"/>
              <w:rPr>
                <w:rFonts w:ascii="Times New Roman" w:eastAsia="Times New Roman" w:hAnsi="Times New Roman" w:cs="Times New Roman"/>
                <w:color w:val="FF0000"/>
                <w:sz w:val="24"/>
                <w:szCs w:val="24"/>
              </w:rPr>
            </w:pPr>
            <w:r>
              <w:rPr>
                <w:rFonts w:ascii="Times New Roman" w:eastAsia="Times New Roman" w:hAnsi="Times New Roman" w:cs="Times New Roman"/>
                <w:color w:val="FFFFFF"/>
                <w:sz w:val="24"/>
                <w:szCs w:val="24"/>
              </w:rPr>
              <w:t>Izlazni idnikatori: izgrađeno šetalište, obezbijeđene površine za odmor i rekreaciju</w:t>
            </w:r>
          </w:p>
          <w:p w:rsidR="00E944C2" w:rsidRDefault="00E944C2" w:rsidP="00316155">
            <w:pPr>
              <w:pStyle w:val="Normal1"/>
              <w:spacing w:after="0"/>
              <w:jc w:val="both"/>
              <w:rPr>
                <w:rFonts w:ascii="Times New Roman" w:eastAsia="Times New Roman" w:hAnsi="Times New Roman" w:cs="Times New Roman"/>
                <w:sz w:val="24"/>
                <w:szCs w:val="24"/>
              </w:rPr>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8967"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Osnovno polazište za izradu Glavnog projekta jeste uređenje šetališta uz rijeku Ribnicu i valorizacija obalnog područja rijeke.</w:t>
            </w:r>
          </w:p>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Za predmetnu trasu šetališta od sastavaka rijeke Morače i Ribnice do objekta “Banja” u zahvatu Prostornog urbanističkog plana Podgorice je odrađeno Idejno rešenje na koje je data saglasnost Gradskog arhitekte br. UPI 30-332/20-161/9 od 20.10.2020.godine. Nakon usvojenog Idejnog rešenja sa preduzećem </w:t>
            </w:r>
            <w:r>
              <w:rPr>
                <w:rFonts w:ascii="Times New Roman" w:eastAsia="Times New Roman" w:hAnsi="Times New Roman" w:cs="Times New Roman"/>
                <w:b/>
                <w:sz w:val="24"/>
                <w:szCs w:val="24"/>
              </w:rPr>
              <w:t xml:space="preserve">“Andri&amp;Ana architecture” doo </w:t>
            </w:r>
            <w:r>
              <w:rPr>
                <w:rFonts w:ascii="Times New Roman" w:eastAsia="Times New Roman" w:hAnsi="Times New Roman" w:cs="Times New Roman"/>
                <w:sz w:val="24"/>
                <w:szCs w:val="24"/>
              </w:rPr>
              <w:t>je zaključen Ugovor o izradi Glavnog projekta.</w:t>
            </w:r>
          </w:p>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Tokom izrade Glavnog projekta donijeta je odluka o podjeli trase na tri cjeline. Na predmetnu podjelu, koja je dostavljena od strane projektanta, data je saglasnost Gradskog arhitekte br. 30-332/20-123/2 od 10.8.2020. godine.</w:t>
            </w:r>
          </w:p>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Površina zahvata za sve tri cjeline iznosi 3.5 ha</w:t>
            </w:r>
          </w:p>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Dužina trase je cca 950m.</w:t>
            </w:r>
          </w:p>
          <w:p w:rsidR="00E944C2" w:rsidRDefault="00F7666C" w:rsidP="00E36C81">
            <w:pPr>
              <w:pStyle w:val="Normal1"/>
              <w:ind w:left="63" w:right="112"/>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Podjela je izvršena je na sledeći </w:t>
            </w:r>
            <w:r>
              <w:rPr>
                <w:rFonts w:ascii="Times New Roman" w:eastAsia="Times New Roman" w:hAnsi="Times New Roman" w:cs="Times New Roman"/>
              </w:rPr>
              <w:t>način</w:t>
            </w:r>
            <w:r>
              <w:rPr>
                <w:rFonts w:ascii="Times New Roman" w:eastAsia="Times New Roman" w:hAnsi="Times New Roman" w:cs="Times New Roman"/>
                <w:sz w:val="24"/>
                <w:szCs w:val="24"/>
              </w:rPr>
              <w:t>:</w:t>
            </w:r>
          </w:p>
          <w:p w:rsidR="00E944C2" w:rsidRDefault="00F7666C" w:rsidP="00E36C81">
            <w:pPr>
              <w:pStyle w:val="Normal1"/>
              <w:ind w:left="63" w:right="112"/>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cjelina I: -</w:t>
            </w:r>
            <w:r>
              <w:rPr>
                <w:rFonts w:ascii="Times New Roman" w:eastAsia="Times New Roman" w:hAnsi="Times New Roman" w:cs="Times New Roman"/>
                <w:sz w:val="24"/>
                <w:szCs w:val="24"/>
              </w:rPr>
              <w:t>Dio korita rijeke Ribnice od Novog mosta (objekta ”Banja”) do Mosta žrtava 5. maja(objekat Muzički centar)</w:t>
            </w:r>
          </w:p>
          <w:p w:rsidR="00E944C2" w:rsidRDefault="00F7666C" w:rsidP="00E36C81">
            <w:pPr>
              <w:pStyle w:val="Normal1"/>
              <w:ind w:left="63"/>
              <w:jc w:val="both"/>
              <w:rPr>
                <w:rFonts w:ascii="Times New Roman" w:eastAsia="Times New Roman" w:hAnsi="Times New Roman" w:cs="Times New Roman"/>
                <w:b/>
                <w:i/>
                <w:sz w:val="24"/>
                <w:szCs w:val="24"/>
              </w:rPr>
            </w:pPr>
            <w:r>
              <w:rPr>
                <w:rFonts w:ascii="Times New Roman" w:eastAsia="Times New Roman" w:hAnsi="Times New Roman" w:cs="Times New Roman"/>
                <w:b/>
                <w:i/>
                <w:sz w:val="24"/>
                <w:szCs w:val="24"/>
              </w:rPr>
              <w:t xml:space="preserve">cjelina II: </w:t>
            </w:r>
            <w:r>
              <w:rPr>
                <w:rFonts w:ascii="Times New Roman" w:eastAsia="Times New Roman" w:hAnsi="Times New Roman" w:cs="Times New Roman"/>
                <w:sz w:val="24"/>
                <w:szCs w:val="24"/>
              </w:rPr>
              <w:t>-Dio korita rijeke Ribnice od Mosta žrtava 5. maja (objekat Muzički centar) do Tabačkog mosta koji se- nalazi u okviru DUP-a ”Stara Varoš-Blok 7”</w:t>
            </w:r>
          </w:p>
          <w:p w:rsidR="00E944C2" w:rsidRDefault="00F7666C" w:rsidP="00E36C81">
            <w:pPr>
              <w:pStyle w:val="Normal1"/>
              <w:ind w:left="63"/>
              <w:jc w:val="both"/>
              <w:rPr>
                <w:rFonts w:ascii="Times New Roman" w:eastAsia="Times New Roman" w:hAnsi="Times New Roman" w:cs="Times New Roman"/>
                <w:i/>
                <w:sz w:val="24"/>
                <w:szCs w:val="24"/>
              </w:rPr>
            </w:pPr>
            <w:r>
              <w:rPr>
                <w:rFonts w:ascii="Times New Roman" w:eastAsia="Times New Roman" w:hAnsi="Times New Roman" w:cs="Times New Roman"/>
                <w:b/>
                <w:i/>
                <w:sz w:val="24"/>
                <w:szCs w:val="24"/>
              </w:rPr>
              <w:t>cjelina III:</w:t>
            </w:r>
            <w:r>
              <w:rPr>
                <w:rFonts w:ascii="Times New Roman" w:eastAsia="Times New Roman" w:hAnsi="Times New Roman" w:cs="Times New Roman"/>
                <w:sz w:val="24"/>
                <w:szCs w:val="24"/>
              </w:rPr>
              <w:t>- Dio korita rijeke Ribnice od Tabačkog mosta do starog mosta na Sastavcima koji se nalazi u okviru -DUP-a ”Stara Varoš –blok 7” i UP-a ” Stara Varoš”.</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Direkcija za imovinu/ Uprava za nekretnine,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Postoje neriješeni - imovinsko pravni odnosi. Uslov za realizaciju su prethodno riješeni imovinsko-pravni odnosi.</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xml:space="preserve">Glavni projekat je izrađen za </w:t>
            </w:r>
            <w:r>
              <w:rPr>
                <w:rFonts w:ascii="Times New Roman" w:eastAsia="Times New Roman" w:hAnsi="Times New Roman" w:cs="Times New Roman"/>
                <w:b/>
                <w:sz w:val="24"/>
                <w:szCs w:val="24"/>
              </w:rPr>
              <w:t>cjelinu I</w:t>
            </w:r>
            <w:r>
              <w:rPr>
                <w:rFonts w:ascii="Times New Roman" w:eastAsia="Times New Roman" w:hAnsi="Times New Roman" w:cs="Times New Roman"/>
                <w:sz w:val="24"/>
                <w:szCs w:val="24"/>
              </w:rPr>
              <w:t xml:space="preserve">, dok je u toku revizija Glavnog projekta </w:t>
            </w:r>
            <w:r>
              <w:rPr>
                <w:rFonts w:ascii="Times New Roman" w:eastAsia="Times New Roman" w:hAnsi="Times New Roman" w:cs="Times New Roman"/>
                <w:b/>
                <w:sz w:val="24"/>
                <w:szCs w:val="24"/>
              </w:rPr>
              <w:t>za Cjelinu II i III.</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E944C2" w:rsidP="00E36C81">
            <w:pPr>
              <w:pStyle w:val="Normal1"/>
              <w:jc w:val="both"/>
              <w:rPr>
                <w:rFonts w:ascii="Times New Roman" w:eastAsia="Times New Roman" w:hAnsi="Times New Roman" w:cs="Times New Roman"/>
                <w:sz w:val="24"/>
                <w:szCs w:val="24"/>
              </w:rPr>
            </w:pPr>
          </w:p>
        </w:tc>
      </w:tr>
    </w:tbl>
    <w:p w:rsidR="00751D26" w:rsidRDefault="00751D26"/>
    <w:tbl>
      <w:tblPr>
        <w:tblStyle w:val="45"/>
        <w:tblW w:w="8967" w:type="dxa"/>
        <w:tblInd w:w="100" w:type="dxa"/>
        <w:tblLayout w:type="fixed"/>
        <w:tblLook w:val="04A0"/>
      </w:tblPr>
      <w:tblGrid>
        <w:gridCol w:w="2311"/>
        <w:gridCol w:w="2687"/>
        <w:gridCol w:w="1701"/>
        <w:gridCol w:w="2127"/>
        <w:gridCol w:w="141"/>
      </w:tblGrid>
      <w:tr w:rsidR="00E944C2" w:rsidTr="00316155">
        <w:trPr>
          <w:cantSplit/>
          <w:trHeight w:val="572"/>
          <w:tblHeader/>
        </w:trPr>
        <w:tc>
          <w:tcPr>
            <w:tcW w:w="8967"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2311"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2.500.000,00€</w:t>
            </w:r>
          </w:p>
          <w:p w:rsidR="00E944C2" w:rsidRDefault="00F7666C" w:rsidP="00316155">
            <w:pPr>
              <w:pStyle w:val="Normal1"/>
              <w:shd w:val="clear" w:color="auto" w:fill="FFFFFF"/>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687"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0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2127"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2311"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68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127"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2311"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687"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2127"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tc>
        <w:tc>
          <w:tcPr>
            <w:tcW w:w="268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12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tc>
        <w:tc>
          <w:tcPr>
            <w:tcW w:w="268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12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68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12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31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68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12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8967"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E944C2" w:rsidRDefault="00595D39" w:rsidP="00316155">
      <w:pPr>
        <w:pStyle w:val="Normal1"/>
        <w:tabs>
          <w:tab w:val="left" w:pos="1500"/>
        </w:tabs>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64384" behindDoc="0" locked="0" layoutInCell="1" allowOverlap="1">
            <wp:simplePos x="0" y="0"/>
            <wp:positionH relativeFrom="column">
              <wp:posOffset>-473075</wp:posOffset>
            </wp:positionH>
            <wp:positionV relativeFrom="paragraph">
              <wp:posOffset>46990</wp:posOffset>
            </wp:positionV>
            <wp:extent cx="6431915" cy="4326255"/>
            <wp:effectExtent l="19050" t="19050" r="26035" b="17145"/>
            <wp:wrapTopAndBottom/>
            <wp:docPr id="21" name="image13.png"/>
            <wp:cNvGraphicFramePr/>
            <a:graphic xmlns:a="http://schemas.openxmlformats.org/drawingml/2006/main">
              <a:graphicData uri="http://schemas.openxmlformats.org/drawingml/2006/picture">
                <pic:pic xmlns:pic="http://schemas.openxmlformats.org/drawingml/2006/picture">
                  <pic:nvPicPr>
                    <pic:cNvPr id="21" name="image13.png"/>
                    <pic:cNvPicPr preferRelativeResize="0"/>
                  </pic:nvPicPr>
                  <pic:blipFill>
                    <a:blip r:embed="rId20" cstate="print"/>
                    <a:srcRect t="3774" b="11449"/>
                    <a:stretch>
                      <a:fillRect/>
                    </a:stretch>
                  </pic:blipFill>
                  <pic:spPr>
                    <a:xfrm>
                      <a:off x="0" y="0"/>
                      <a:ext cx="6431915" cy="4326255"/>
                    </a:xfrm>
                    <a:prstGeom prst="rect">
                      <a:avLst/>
                    </a:prstGeom>
                    <a:ln w="9525">
                      <a:solidFill>
                        <a:srgbClr val="000000"/>
                      </a:solidFill>
                      <a:prstDash val="solid"/>
                    </a:ln>
                  </pic:spPr>
                </pic:pic>
              </a:graphicData>
            </a:graphic>
          </wp:anchor>
        </w:drawing>
      </w:r>
      <w:r w:rsidR="00F7666C">
        <w:rPr>
          <w:rFonts w:ascii="Times New Roman" w:eastAsia="Times New Roman" w:hAnsi="Times New Roman" w:cs="Times New Roman"/>
          <w:sz w:val="24"/>
          <w:szCs w:val="24"/>
        </w:rPr>
        <w:tab/>
      </w:r>
    </w:p>
    <w:p w:rsidR="00E944C2" w:rsidRDefault="00E944C2" w:rsidP="00316155">
      <w:pPr>
        <w:pStyle w:val="Normal1"/>
        <w:tabs>
          <w:tab w:val="left" w:pos="1500"/>
        </w:tabs>
        <w:jc w:val="both"/>
        <w:rPr>
          <w:rFonts w:ascii="Times New Roman" w:eastAsia="Times New Roman" w:hAnsi="Times New Roman" w:cs="Times New Roman"/>
          <w:sz w:val="24"/>
          <w:szCs w:val="24"/>
        </w:rPr>
      </w:pPr>
    </w:p>
    <w:p w:rsidR="00E944C2" w:rsidRDefault="00E944C2" w:rsidP="00316155">
      <w:pPr>
        <w:pStyle w:val="Normal1"/>
        <w:tabs>
          <w:tab w:val="left" w:pos="1500"/>
        </w:tabs>
        <w:jc w:val="both"/>
        <w:rPr>
          <w:rFonts w:ascii="Times New Roman" w:eastAsia="Times New Roman" w:hAnsi="Times New Roman" w:cs="Times New Roman"/>
          <w:sz w:val="24"/>
          <w:szCs w:val="24"/>
        </w:rPr>
      </w:pPr>
    </w:p>
    <w:p w:rsidR="00E944C2" w:rsidRDefault="00E944C2" w:rsidP="00316155">
      <w:pPr>
        <w:pStyle w:val="Normal1"/>
        <w:tabs>
          <w:tab w:val="left" w:pos="1500"/>
        </w:tabs>
        <w:jc w:val="both"/>
        <w:rPr>
          <w:rFonts w:ascii="Times New Roman" w:eastAsia="Times New Roman" w:hAnsi="Times New Roman" w:cs="Times New Roman"/>
          <w:sz w:val="24"/>
          <w:szCs w:val="24"/>
        </w:rPr>
      </w:pPr>
    </w:p>
    <w:tbl>
      <w:tblPr>
        <w:tblStyle w:val="44"/>
        <w:tblW w:w="9251" w:type="dxa"/>
        <w:tblInd w:w="100" w:type="dxa"/>
        <w:tblLayout w:type="fixed"/>
        <w:tblLook w:val="04A0"/>
      </w:tblPr>
      <w:tblGrid>
        <w:gridCol w:w="9251"/>
      </w:tblGrid>
      <w:tr w:rsidR="00E944C2" w:rsidTr="00316155">
        <w:trPr>
          <w:cantSplit/>
          <w:trHeight w:val="572"/>
          <w:tblHeader/>
        </w:trPr>
        <w:tc>
          <w:tcPr>
            <w:tcW w:w="9251"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251"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BROJ8-</w:t>
            </w:r>
            <w:r>
              <w:rPr>
                <w:rFonts w:ascii="Times New Roman" w:eastAsia="Times New Roman" w:hAnsi="Times New Roman" w:cs="Times New Roman"/>
                <w:sz w:val="24"/>
                <w:szCs w:val="24"/>
              </w:rPr>
              <w:t xml:space="preserve"> KUĆA “LEGAT”</w:t>
            </w:r>
          </w:p>
        </w:tc>
      </w:tr>
      <w:tr w:rsidR="00E944C2" w:rsidTr="00316155">
        <w:trPr>
          <w:cantSplit/>
          <w:trHeight w:val="572"/>
          <w:tblHeader/>
        </w:trPr>
        <w:tc>
          <w:tcPr>
            <w:tcW w:w="9251"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Unapređenje očuvanja i promocije kulturne baštine kroz izgradnju legata namijenjenog izlaganju eksponata i organizovanju kulturnih sadržaja, sa ciljem jačanja kulturnog identiteta i dostupnosti kulturnih vrijednosti široj zajednici.</w:t>
            </w:r>
          </w:p>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Primjer izlaznih indikatora:</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Izgrađen i opremljen prostor za izlaganje (broj kvadrata izložbenog prostora)</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postavljenih stalnih i povremenih izložbi godišnje</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eksponata izloženih i adekvatno zaštićenih</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posjetilaca legata u prvoj godini rada</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Broj kulturnih događaja (tribina, radionica, predavanja) održanih u prostoru</w:t>
            </w:r>
          </w:p>
          <w:p w:rsidR="00E944C2" w:rsidRDefault="00F7666C" w:rsidP="00316155">
            <w:pPr>
              <w:pStyle w:val="Normal1"/>
              <w:numPr>
                <w:ilvl w:val="0"/>
                <w:numId w:val="26"/>
              </w:num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Povećanje vidljivosti i promocije lokalne kulturne baštine (broj medijskih objava, digitalnih sadržaja)</w:t>
            </w:r>
          </w:p>
          <w:p w:rsidR="00E944C2" w:rsidRDefault="00E944C2" w:rsidP="00316155">
            <w:pPr>
              <w:pStyle w:val="Normal1"/>
              <w:jc w:val="both"/>
              <w:rPr>
                <w:sz w:val="24"/>
                <w:szCs w:val="24"/>
              </w:rPr>
            </w:pPr>
          </w:p>
        </w:tc>
      </w:tr>
      <w:tr w:rsidR="00E944C2" w:rsidTr="00316155">
        <w:trPr>
          <w:cantSplit/>
          <w:trHeight w:val="630"/>
          <w:tblHeader/>
        </w:trPr>
        <w:tc>
          <w:tcPr>
            <w:tcW w:w="9251"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Opis projekta: -</w:t>
            </w:r>
            <w:r>
              <w:rPr>
                <w:rFonts w:ascii="Times New Roman" w:eastAsia="Times New Roman" w:hAnsi="Times New Roman" w:cs="Times New Roman"/>
                <w:sz w:val="24"/>
                <w:szCs w:val="24"/>
              </w:rPr>
              <w:t>trenutno u fazi potraživanja lokacije</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:n/a”-u zavinosti od odabrane lokacije</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vidu ideje</w:t>
            </w:r>
          </w:p>
        </w:tc>
      </w:tr>
    </w:tbl>
    <w:p w:rsidR="00751D26" w:rsidRDefault="00751D26"/>
    <w:tbl>
      <w:tblPr>
        <w:tblStyle w:val="44"/>
        <w:tblW w:w="9301" w:type="dxa"/>
        <w:tblInd w:w="100" w:type="dxa"/>
        <w:tblLayout w:type="fixed"/>
        <w:tblLook w:val="04A0"/>
      </w:tblPr>
      <w:tblGrid>
        <w:gridCol w:w="2500"/>
        <w:gridCol w:w="1610"/>
        <w:gridCol w:w="1597"/>
        <w:gridCol w:w="3544"/>
        <w:gridCol w:w="50"/>
      </w:tblGrid>
      <w:tr w:rsidR="00E944C2" w:rsidTr="00316155">
        <w:trPr>
          <w:gridAfter w:val="1"/>
          <w:wAfter w:w="50" w:type="dxa"/>
          <w:cantSplit/>
          <w:trHeight w:val="572"/>
          <w:tblHeader/>
        </w:trPr>
        <w:tc>
          <w:tcPr>
            <w:tcW w:w="9251"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4D3FA8">
        <w:trPr>
          <w:cantSplit/>
          <w:trHeight w:val="432"/>
          <w:tblHeader/>
        </w:trPr>
        <w:tc>
          <w:tcPr>
            <w:tcW w:w="2500"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1610"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97"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3544"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cantSplit/>
          <w:trHeight w:val="831"/>
          <w:tblHeader/>
        </w:trPr>
        <w:tc>
          <w:tcPr>
            <w:tcW w:w="2500"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161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597"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544"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4D3FA8">
        <w:trPr>
          <w:cantSplit/>
          <w:trHeight w:val="858"/>
          <w:tblHeader/>
        </w:trPr>
        <w:tc>
          <w:tcPr>
            <w:tcW w:w="2500"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1610"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597"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3544"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4D3FA8">
        <w:trPr>
          <w:cantSplit/>
          <w:trHeight w:val="572"/>
          <w:tblHeader/>
        </w:trPr>
        <w:tc>
          <w:tcPr>
            <w:tcW w:w="250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jc w:val="both"/>
              <w:rPr>
                <w:rFonts w:ascii="Times New Roman" w:eastAsia="Times New Roman" w:hAnsi="Times New Roman" w:cs="Times New Roman"/>
                <w:sz w:val="24"/>
                <w:szCs w:val="24"/>
              </w:rPr>
            </w:pPr>
          </w:p>
        </w:tc>
        <w:tc>
          <w:tcPr>
            <w:tcW w:w="161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5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354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251"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tabs>
          <w:tab w:val="left" w:pos="1500"/>
        </w:tabs>
        <w:jc w:val="both"/>
        <w:rPr>
          <w:rFonts w:ascii="Times New Roman" w:eastAsia="Times New Roman" w:hAnsi="Times New Roman" w:cs="Times New Roman"/>
          <w:sz w:val="24"/>
          <w:szCs w:val="24"/>
        </w:rPr>
      </w:pPr>
    </w:p>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bl>
      <w:tblPr>
        <w:tblStyle w:val="43"/>
        <w:tblW w:w="9109" w:type="dxa"/>
        <w:tblInd w:w="100" w:type="dxa"/>
        <w:tblLayout w:type="fixed"/>
        <w:tblLook w:val="04A0"/>
      </w:tblPr>
      <w:tblGrid>
        <w:gridCol w:w="9109"/>
      </w:tblGrid>
      <w:tr w:rsidR="00E944C2" w:rsidTr="00316155">
        <w:trPr>
          <w:cantSplit/>
          <w:trHeight w:val="572"/>
          <w:tblHeader/>
        </w:trPr>
        <w:tc>
          <w:tcPr>
            <w:tcW w:w="9109"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109"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9- </w:t>
            </w:r>
            <w:r>
              <w:rPr>
                <w:rFonts w:ascii="Times New Roman" w:eastAsia="Times New Roman" w:hAnsi="Times New Roman" w:cs="Times New Roman"/>
                <w:sz w:val="24"/>
                <w:szCs w:val="24"/>
              </w:rPr>
              <w:t>IZGRADNJA PJEŠAČKOG MOSTA NA RIJECI MORAČI,  OD SC “MORAČA” KA STAROJ VAROŠI</w:t>
            </w:r>
          </w:p>
        </w:tc>
      </w:tr>
      <w:tr w:rsidR="00E944C2" w:rsidTr="00316155">
        <w:trPr>
          <w:cantSplit/>
          <w:trHeight w:val="572"/>
          <w:tblHeader/>
        </w:trPr>
        <w:tc>
          <w:tcPr>
            <w:tcW w:w="9109"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spacing w:after="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Budući pjesački most povezuje rekreativno kulturnu zonu na obali rijeke Morače sa zonom Stare Varoši i dalje sa ostalim djelovima grada. Njegov značaj je tim veći što se ima u vidu da je lako dostupan iz svih pravaca mostovima i saobraćajnicama bulevarskog tipa kojima se uspostavlja veza izmedju različitih djelova grada sa suprotnim stranama rijeke Morače. </w:t>
            </w:r>
          </w:p>
          <w:p w:rsidR="00E944C2" w:rsidRDefault="00F7666C" w:rsidP="00E36C81">
            <w:pPr>
              <w:pStyle w:val="Normal1"/>
              <w:spacing w:after="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Planirani pjesački most će doprinijeti poboljšanju bezbjednosti građana  i uticaće  na povećanje kvaliteta života u gradu uopšte i činiće grad pogodnijim za život. Predstavljaće jedinstvenu sponu najstarijeg dijela grada Stare Varoši sa savremenim sadržajima na drugoj obali rijeke.</w:t>
            </w:r>
          </w:p>
          <w:p w:rsidR="00E944C2" w:rsidRDefault="00E944C2" w:rsidP="00E36C81">
            <w:pPr>
              <w:pStyle w:val="Normal1"/>
              <w:spacing w:after="0"/>
              <w:jc w:val="both"/>
              <w:rPr>
                <w:color w:val="FFFFFF"/>
                <w:sz w:val="24"/>
                <w:szCs w:val="24"/>
              </w:rPr>
            </w:pPr>
          </w:p>
          <w:p w:rsidR="00E944C2" w:rsidRDefault="00F7666C" w:rsidP="00E36C81">
            <w:pPr>
              <w:pStyle w:val="Normal1"/>
              <w:spacing w:after="0"/>
              <w:jc w:val="both"/>
              <w:rPr>
                <w:color w:val="FFFFFF"/>
              </w:rPr>
            </w:pPr>
            <w:r>
              <w:rPr>
                <w:rFonts w:ascii="Times New Roman" w:eastAsia="Times New Roman" w:hAnsi="Times New Roman" w:cs="Times New Roman"/>
                <w:color w:val="FFFFFF"/>
                <w:sz w:val="24"/>
                <w:szCs w:val="24"/>
              </w:rPr>
              <w:t>Izgradnjom ovog mosta stvoriće se preduslovi za dalji razvoj gradskih cjelina i uticaće na oživljavanje same lokacije.</w:t>
            </w:r>
          </w:p>
          <w:p w:rsidR="00E944C2" w:rsidRDefault="00E944C2" w:rsidP="00E36C81">
            <w:pPr>
              <w:pStyle w:val="Normal1"/>
              <w:numPr>
                <w:ilvl w:val="0"/>
                <w:numId w:val="27"/>
              </w:numPr>
              <w:spacing w:after="0" w:line="240" w:lineRule="auto"/>
              <w:jc w:val="both"/>
              <w:rPr>
                <w:rFonts w:ascii="Times New Roman" w:eastAsia="Times New Roman" w:hAnsi="Times New Roman" w:cs="Times New Roman"/>
                <w:sz w:val="24"/>
                <w:szCs w:val="24"/>
              </w:rPr>
            </w:pPr>
          </w:p>
        </w:tc>
      </w:tr>
      <w:tr w:rsidR="00E944C2" w:rsidTr="00316155">
        <w:trPr>
          <w:cantSplit/>
          <w:trHeight w:val="630"/>
          <w:tblHeader/>
        </w:trPr>
        <w:tc>
          <w:tcPr>
            <w:tcW w:w="9109"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 xml:space="preserve">Budući pješački most se nalazi na katastarskim parcelama broj 98, 5875 KO Podgorica III i broj 1275/26, 1275/3 i 1672 KO Podgorica I, u zahvatu dva planska dokumenta UP “Stara Varos” i DUP-a  “ Rekreativno kulturna zona na obali rijeke Morace-juzni dio”. </w:t>
            </w: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DUP-om “Rekreativno kulturna zona na obali rijeke Morace-juzni dio” nije dat planirani izgled mosta niti poprečni presjek istog, osim predlog za izgradnju radi bolje povezanosti obala rijeke Morače, tj. rekreativno –kulturne zone sa jezgrom starog grada. Međutim UP-om “Stara Varos” koji je važeći planski dokument planirana je izgradnja visećeg pješačkog mosta širine cca 3,00 m i dužine cca 120m. Predložena je i pozicija mosta, a ista će biti bliže definisana nakon geoloskih ispitivanja predmetne lokacije, hidrološko-hidrotehničkih istraživanja, te geodetskog snimanja terena. </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 </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Služba Glavnog gradskog arhitekte, Sekretarijat za planiranje prostora i odživi razvoj, Ministarstvo prostornog planiranja, urbanizma i državne imovine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-nema imovinsko – pravnih odnosa.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Izdati UTU-i od strane Ministarstva prosotrnog planiranja, urbanizma i državne imovine i pripremljen Projektni zadata</w:t>
            </w:r>
          </w:p>
        </w:tc>
      </w:tr>
    </w:tbl>
    <w:p w:rsidR="00751D26" w:rsidRDefault="00751D26"/>
    <w:tbl>
      <w:tblPr>
        <w:tblStyle w:val="43"/>
        <w:tblW w:w="9159" w:type="dxa"/>
        <w:tblInd w:w="100" w:type="dxa"/>
        <w:tblLayout w:type="fixed"/>
        <w:tblLook w:val="04A0"/>
      </w:tblPr>
      <w:tblGrid>
        <w:gridCol w:w="2970"/>
        <w:gridCol w:w="2454"/>
        <w:gridCol w:w="1701"/>
        <w:gridCol w:w="1984"/>
        <w:gridCol w:w="50"/>
      </w:tblGrid>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2970"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cca 3.500.000,00€ </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245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0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984"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2970"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84"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2970"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454"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984"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Javnog konkursa za Idejno arhitektonsko rešenje</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Glavne gradske arhitektice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izradu Glavnog projekta shodno idejnom rešenju</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jc w:val="both"/>
              <w:rPr>
                <w:rFonts w:ascii="Times New Roman" w:eastAsia="Times New Roman" w:hAnsi="Times New Roman" w:cs="Times New Roman"/>
                <w:sz w:val="24"/>
                <w:szCs w:val="24"/>
              </w:rPr>
            </w:pP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color w:val="FFFFFF"/>
                <w:sz w:val="24"/>
                <w:szCs w:val="24"/>
              </w:rPr>
            </w:pPr>
          </w:p>
          <w:p w:rsidR="00E944C2" w:rsidRDefault="00E944C2" w:rsidP="00E36C81">
            <w:pPr>
              <w:pStyle w:val="Normal1"/>
              <w:jc w:val="both"/>
              <w:rPr>
                <w:rFonts w:ascii="Times New Roman" w:eastAsia="Times New Roman" w:hAnsi="Times New Roman" w:cs="Times New Roman"/>
                <w:b/>
                <w:color w:val="FFFFFF"/>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7115175" cy="4730115"/>
            <wp:effectExtent l="19050" t="19050" r="28575" b="13335"/>
            <wp:docPr id="8" name="image3.jpg"/>
            <wp:cNvGraphicFramePr/>
            <a:graphic xmlns:a="http://schemas.openxmlformats.org/drawingml/2006/main">
              <a:graphicData uri="http://schemas.openxmlformats.org/drawingml/2006/picture">
                <pic:pic xmlns:pic="http://schemas.openxmlformats.org/drawingml/2006/picture">
                  <pic:nvPicPr>
                    <pic:cNvPr id="8" name="image3.jpg"/>
                    <pic:cNvPicPr preferRelativeResize="0"/>
                  </pic:nvPicPr>
                  <pic:blipFill>
                    <a:blip r:embed="rId21" cstate="print"/>
                    <a:srcRect/>
                    <a:stretch>
                      <a:fillRect/>
                    </a:stretch>
                  </pic:blipFill>
                  <pic:spPr>
                    <a:xfrm>
                      <a:off x="0" y="0"/>
                      <a:ext cx="7113137" cy="4728760"/>
                    </a:xfrm>
                    <a:prstGeom prst="rect">
                      <a:avLst/>
                    </a:prstGeom>
                    <a:ln w="9525">
                      <a:solidFill>
                        <a:srgbClr val="000000"/>
                      </a:solidFill>
                      <a:prstDash val="solid"/>
                    </a:ln>
                  </pic:spPr>
                </pic:pic>
              </a:graphicData>
            </a:graphic>
          </wp:inline>
        </w:drawing>
      </w:r>
    </w:p>
    <w:p w:rsidR="00E944C2" w:rsidRDefault="00E944C2" w:rsidP="00316155">
      <w:pPr>
        <w:pStyle w:val="Normal1"/>
        <w:jc w:val="both"/>
      </w:pPr>
    </w:p>
    <w:p w:rsidR="00595D39" w:rsidRDefault="00595D39" w:rsidP="00316155">
      <w:pPr>
        <w:pStyle w:val="Normal1"/>
        <w:jc w:val="both"/>
      </w:pPr>
    </w:p>
    <w:p w:rsidR="00E944C2" w:rsidRDefault="00E944C2" w:rsidP="00316155">
      <w:pPr>
        <w:pStyle w:val="Normal1"/>
        <w:jc w:val="both"/>
      </w:pPr>
    </w:p>
    <w:tbl>
      <w:tblPr>
        <w:tblStyle w:val="42"/>
        <w:tblW w:w="8967" w:type="dxa"/>
        <w:tblInd w:w="100" w:type="dxa"/>
        <w:tblLayout w:type="fixed"/>
        <w:tblLook w:val="04A0"/>
      </w:tblPr>
      <w:tblGrid>
        <w:gridCol w:w="8967"/>
      </w:tblGrid>
      <w:tr w:rsidR="00E944C2" w:rsidTr="00316155">
        <w:trPr>
          <w:cantSplit/>
          <w:trHeight w:val="572"/>
          <w:tblHeader/>
        </w:trPr>
        <w:tc>
          <w:tcPr>
            <w:tcW w:w="8967"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8967"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10-</w:t>
            </w:r>
            <w:r>
              <w:rPr>
                <w:rFonts w:ascii="Times New Roman" w:eastAsia="Times New Roman" w:hAnsi="Times New Roman" w:cs="Times New Roman"/>
                <w:sz w:val="24"/>
                <w:szCs w:val="24"/>
              </w:rPr>
              <w:t xml:space="preserve"> IZGRADNJA NOVOG MOSTA - KRIVI MOST</w:t>
            </w:r>
          </w:p>
        </w:tc>
      </w:tr>
      <w:tr w:rsidR="00E944C2" w:rsidTr="00316155">
        <w:trPr>
          <w:cantSplit/>
          <w:trHeight w:val="572"/>
          <w:tblHeader/>
        </w:trPr>
        <w:tc>
          <w:tcPr>
            <w:tcW w:w="8967"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b/>
                <w:color w:val="FFFFFF"/>
                <w:sz w:val="24"/>
                <w:szCs w:val="24"/>
              </w:rPr>
            </w:pPr>
          </w:p>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Predmetna lokacija je prepoznata po velikoj frekfentnosti saobraćaja gdje se zbog tipa saobraćajnica i uskog grla (od ulice Dr Vukašina Markovića do Ulice 8. marta) stvaraju velike gužve. Proširenjem mosta u profile bulevarskih saobraćajnica u velikom dijelu će se uticati na bolji protok saobraćaja, doprinijeće poboljšanju bezbjednosti građana  i uticaće  na povećanje kvaliteta života. </w:t>
            </w:r>
          </w:p>
          <w:p w:rsidR="00E944C2" w:rsidRDefault="00E944C2" w:rsidP="00E36C81">
            <w:pPr>
              <w:pStyle w:val="Normal1"/>
              <w:numPr>
                <w:ilvl w:val="0"/>
                <w:numId w:val="26"/>
              </w:numPr>
              <w:spacing w:after="0" w:line="240" w:lineRule="auto"/>
              <w:jc w:val="both"/>
              <w:rPr>
                <w:rFonts w:ascii="Times New Roman" w:eastAsia="Times New Roman" w:hAnsi="Times New Roman" w:cs="Times New Roman"/>
                <w:sz w:val="24"/>
                <w:szCs w:val="24"/>
              </w:rPr>
            </w:pPr>
          </w:p>
        </w:tc>
      </w:tr>
      <w:tr w:rsidR="00E944C2" w:rsidTr="00316155">
        <w:trPr>
          <w:cantSplit/>
          <w:trHeight w:val="630"/>
          <w:tblHeader/>
        </w:trPr>
        <w:tc>
          <w:tcPr>
            <w:tcW w:w="8967"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 xml:space="preserve">Lokacija mosta sa pristupnim saobraćajnicama se nalazi preko rijeke Morače u blizini Kliničkog centra. Potrebno je zbog izgrađenosti na terenu projektnovati novi most dužine cca 160m i to prostupne saobraćajnice 2x15m i most dužine cca 130m sa poprečnim profilom 24m. </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 </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Direkcija za imovinu/ Uprava za nekretnine, Sekretarijat za planiranje prostora i održivi razvoj, Ministarstvo prostornog planiranja, urbanizma i državne imovine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-Postoje neriješeni - imovinsko pravni odnosi. Uslov za realizaciju su prethodno riješeni imovinsko pravni odnosi.</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xml:space="preserve">- U vidu ideje. Nacrtom PUP-a Podgorice predviđeno proširenje Krivog mosta. </w:t>
            </w: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tc>
      </w:tr>
    </w:tbl>
    <w:p w:rsidR="00751D26" w:rsidRDefault="00751D26"/>
    <w:tbl>
      <w:tblPr>
        <w:tblStyle w:val="42"/>
        <w:tblW w:w="9017" w:type="dxa"/>
        <w:tblInd w:w="100" w:type="dxa"/>
        <w:tblLayout w:type="fixed"/>
        <w:tblLook w:val="04A0"/>
      </w:tblPr>
      <w:tblGrid>
        <w:gridCol w:w="2970"/>
        <w:gridCol w:w="2454"/>
        <w:gridCol w:w="1559"/>
        <w:gridCol w:w="1984"/>
        <w:gridCol w:w="50"/>
      </w:tblGrid>
      <w:tr w:rsidR="00E944C2" w:rsidTr="00316155">
        <w:trPr>
          <w:gridAfter w:val="1"/>
          <w:wAfter w:w="50" w:type="dxa"/>
          <w:cantSplit/>
          <w:trHeight w:val="572"/>
          <w:tblHeader/>
        </w:trPr>
        <w:tc>
          <w:tcPr>
            <w:tcW w:w="8967"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2970"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cca 6.500.000,00€ </w:t>
            </w:r>
          </w:p>
          <w:p w:rsidR="00E944C2" w:rsidRDefault="00F7666C" w:rsidP="00316155">
            <w:pPr>
              <w:pStyle w:val="Normal1"/>
              <w:shd w:val="clear" w:color="auto" w:fill="FFFFFF"/>
              <w:spacing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Kapitalni budžet</w:t>
            </w:r>
          </w:p>
        </w:tc>
        <w:tc>
          <w:tcPr>
            <w:tcW w:w="245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59"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984"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1350"/>
          <w:tblHeader/>
        </w:trPr>
        <w:tc>
          <w:tcPr>
            <w:tcW w:w="2970"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28" w:lineRule="auto"/>
              <w:jc w:val="both"/>
              <w:rPr>
                <w:rFonts w:ascii="Times New Roman" w:eastAsia="Times New Roman" w:hAnsi="Times New Roman" w:cs="Times New Roman"/>
                <w:sz w:val="24"/>
                <w:szCs w:val="24"/>
              </w:rPr>
            </w:pPr>
          </w:p>
        </w:tc>
        <w:tc>
          <w:tcPr>
            <w:tcW w:w="245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84"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316155" w:rsidTr="007F5DDB">
        <w:trPr>
          <w:cantSplit/>
          <w:trHeight w:val="858"/>
          <w:tblHeader/>
        </w:trPr>
        <w:tc>
          <w:tcPr>
            <w:tcW w:w="2970"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454"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559"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984"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Odluka o određivanju lokacije sa elementima UTU-a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Sekretarijat za planiranje prostora i održivi razvoj </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izradu Glavnog projekta mosta</w:t>
            </w:r>
          </w:p>
          <w:p w:rsidR="00E944C2" w:rsidRDefault="00E944C2" w:rsidP="00316155">
            <w:pPr>
              <w:pStyle w:val="Normal1"/>
              <w:spacing w:line="228" w:lineRule="auto"/>
              <w:jc w:val="both"/>
              <w:rPr>
                <w:rFonts w:ascii="Times New Roman" w:eastAsia="Times New Roman" w:hAnsi="Times New Roman" w:cs="Times New Roman"/>
                <w:sz w:val="24"/>
                <w:szCs w:val="24"/>
              </w:rPr>
            </w:pP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 </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spacing w:line="228" w:lineRule="auto"/>
              <w:jc w:val="both"/>
              <w:rPr>
                <w:rFonts w:ascii="Times New Roman" w:eastAsia="Times New Roman" w:hAnsi="Times New Roman" w:cs="Times New Roman"/>
                <w:sz w:val="24"/>
                <w:szCs w:val="24"/>
              </w:rPr>
            </w:pP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297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45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98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8967"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28"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F7666C" w:rsidP="00316155">
            <w:pPr>
              <w:pStyle w:val="Normal1"/>
              <w:shd w:val="clear" w:color="auto" w:fill="0070C0"/>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Od strane Ministarstva prostornog planiranja, urbanizma i državne imovine smo obaviješteni da nema planskog osnova za izdavanje urbanističko - tehničkih uslova za rekonstrukciju postojećeg Krivog mosta kao ni za građenje novog mosta (akt broj 9609 od 05.09.2023.godine). Obzirom da su usvojene izmjene i dopune PUP-a Podgorice, može se pristupiti pribavljanju Odluke o određivanju lokacije sa elementima UTU-a.</w:t>
            </w:r>
          </w:p>
          <w:p w:rsidR="00E944C2" w:rsidRDefault="00E944C2" w:rsidP="00316155">
            <w:pPr>
              <w:pStyle w:val="Normal1"/>
              <w:spacing w:line="228" w:lineRule="auto"/>
              <w:jc w:val="both"/>
              <w:rPr>
                <w:rFonts w:ascii="Times New Roman" w:eastAsia="Times New Roman" w:hAnsi="Times New Roman" w:cs="Times New Roman"/>
                <w:b/>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6080695" cy="4272455"/>
            <wp:effectExtent l="19050" t="19050" r="15875" b="13970"/>
            <wp:docPr id="26" name="image15.jpg"/>
            <wp:cNvGraphicFramePr/>
            <a:graphic xmlns:a="http://schemas.openxmlformats.org/drawingml/2006/main">
              <a:graphicData uri="http://schemas.openxmlformats.org/drawingml/2006/picture">
                <pic:pic xmlns:pic="http://schemas.openxmlformats.org/drawingml/2006/picture">
                  <pic:nvPicPr>
                    <pic:cNvPr id="26" name="image15.jpg"/>
                    <pic:cNvPicPr preferRelativeResize="0"/>
                  </pic:nvPicPr>
                  <pic:blipFill>
                    <a:blip r:embed="rId22" cstate="print"/>
                    <a:srcRect/>
                    <a:stretch>
                      <a:fillRect/>
                    </a:stretch>
                  </pic:blipFill>
                  <pic:spPr>
                    <a:xfrm>
                      <a:off x="0" y="0"/>
                      <a:ext cx="6087153" cy="4276992"/>
                    </a:xfrm>
                    <a:prstGeom prst="rect">
                      <a:avLst/>
                    </a:prstGeom>
                    <a:ln w="9525">
                      <a:solidFill>
                        <a:srgbClr val="000000"/>
                      </a:solidFill>
                      <a:prstDash val="solid"/>
                    </a:ln>
                  </pic:spPr>
                </pic:pic>
              </a:graphicData>
            </a:graphic>
          </wp:inline>
        </w:drawing>
      </w:r>
      <w:r w:rsidR="00290C90" w:rsidRPr="00290C90">
        <w:rPr>
          <w:noProof/>
        </w:rPr>
        <w:pict>
          <v:rect id="Rectangle 3" o:spid="_x0000_s1029" style="position:absolute;left:0;text-align:left;margin-left:298.3pt;margin-top:132.1pt;width:115.1pt;height:166.2pt;rotation:-598337fd;z-index:251665408;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" filled="f" strokecolor="#2f5496" strokeweight="4.5pt">
            <v:stroke startarrowwidth="narrow" startarrowlength="short" endarrowwidth="narrow" endarrowlength="short"/>
            <v:path arrowok="t"/>
            <v:textbox inset="2.53958mm,2.53958mm,2.53958mm,2.53958mm">
              <w:txbxContent>
                <w:p w:rsidR="006A0398" w:rsidRDefault="006A0398">
                  <w:pPr>
                    <w:spacing w:after="0" w:line="240" w:lineRule="auto"/>
                  </w:pPr>
                </w:p>
              </w:txbxContent>
            </v:textbox>
          </v:rect>
        </w:pict>
      </w:r>
    </w:p>
    <w:tbl>
      <w:tblPr>
        <w:tblStyle w:val="41"/>
        <w:tblW w:w="9109" w:type="dxa"/>
        <w:tblInd w:w="100" w:type="dxa"/>
        <w:tblLayout w:type="fixed"/>
        <w:tblLook w:val="04A0"/>
      </w:tblPr>
      <w:tblGrid>
        <w:gridCol w:w="9109"/>
      </w:tblGrid>
      <w:tr w:rsidR="00E944C2" w:rsidTr="00316155">
        <w:trPr>
          <w:cantSplit/>
          <w:trHeight w:val="572"/>
          <w:tblHeader/>
        </w:trPr>
        <w:tc>
          <w:tcPr>
            <w:tcW w:w="9109"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109"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11-</w:t>
            </w:r>
            <w:r>
              <w:rPr>
                <w:rFonts w:ascii="Times New Roman" w:eastAsia="Times New Roman" w:hAnsi="Times New Roman" w:cs="Times New Roman"/>
                <w:sz w:val="24"/>
                <w:szCs w:val="24"/>
              </w:rPr>
              <w:t xml:space="preserve"> IZGRADNJA MOSTA U ROGAMIMA SA PRISTUPNIM SAOBRAĆAJNICAMA</w:t>
            </w:r>
          </w:p>
        </w:tc>
      </w:tr>
      <w:tr w:rsidR="00E944C2" w:rsidTr="00316155">
        <w:trPr>
          <w:cantSplit/>
          <w:trHeight w:val="572"/>
          <w:tblHeader/>
        </w:trPr>
        <w:tc>
          <w:tcPr>
            <w:tcW w:w="9109"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spacing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Izgradnja mosta i pristupne saobraćajnice uticale bi na bolju saobraćajnu povezanost naselja, na razvoj infrastrukture i djelatnosti na predmetnom području. Planirani most će doprinijeti poboljšanju bezbjednosti građana  i uticaće  na povećanje kvaliteta života u gradu uopšte i činiće grad pogodnijim za život.</w:t>
            </w:r>
          </w:p>
          <w:p w:rsidR="00E944C2" w:rsidRDefault="00E944C2" w:rsidP="00E36C81">
            <w:pPr>
              <w:pStyle w:val="Normal1"/>
              <w:spacing w:after="0" w:line="276" w:lineRule="auto"/>
              <w:jc w:val="both"/>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9109"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Lokacija predmetnog mosta je planirana preko rijeke Morače u naselju Rogami preko puta lokaliteta “Duklja”. Izgradnja mosta je predviđena sa pristupnom saobrajnicom koje bi spajale Ulicu Gavrila Vukovića i Pipersku ulicu u dužini od cca 850m.</w:t>
            </w:r>
          </w:p>
          <w:p w:rsidR="00E944C2" w:rsidRDefault="00E944C2" w:rsidP="00E36C81">
            <w:pPr>
              <w:pStyle w:val="Normal1"/>
              <w:spacing w:after="0" w:line="276" w:lineRule="auto"/>
              <w:jc w:val="both"/>
              <w:rPr>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Služba Glavne gradske arhitektice, Direkcija za imovinu/ Uprava za nekretnine, Sekretarijat za planiranje prostora i održivog razvoja, Ministarstvo prostornog planiranja, urbanizma i državne imovine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n/a” -Postoje neriješeni - imovinsko pravni odnosi. Uslov za realizaciju su prethodno riješeni imovinsko pravni odnosi.</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vidu ideje, planirano izmjenama i dopunama PUP-a Podgorica.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r>
    </w:tbl>
    <w:p w:rsidR="0064397C" w:rsidRDefault="0064397C"/>
    <w:tbl>
      <w:tblPr>
        <w:tblStyle w:val="41"/>
        <w:tblW w:w="9017" w:type="dxa"/>
        <w:tblInd w:w="100" w:type="dxa"/>
        <w:tblLayout w:type="fixed"/>
        <w:tblLook w:val="04A0"/>
      </w:tblPr>
      <w:tblGrid>
        <w:gridCol w:w="3156"/>
        <w:gridCol w:w="2409"/>
        <w:gridCol w:w="1560"/>
        <w:gridCol w:w="1842"/>
        <w:gridCol w:w="50"/>
      </w:tblGrid>
      <w:tr w:rsidR="00E944C2" w:rsidTr="004D3FA8">
        <w:trPr>
          <w:gridAfter w:val="1"/>
          <w:wAfter w:w="50" w:type="dxa"/>
          <w:cantSplit/>
          <w:trHeight w:val="572"/>
          <w:tblHeader/>
        </w:trPr>
        <w:tc>
          <w:tcPr>
            <w:tcW w:w="8967"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156"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7.500.000,00€</w:t>
            </w:r>
          </w:p>
          <w:p w:rsidR="00E944C2" w:rsidRDefault="00F7666C" w:rsidP="00316155">
            <w:pPr>
              <w:pStyle w:val="Normal1"/>
              <w:shd w:val="clear" w:color="auto" w:fill="FFFFFF"/>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409"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60"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842"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156"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28" w:lineRule="auto"/>
              <w:jc w:val="both"/>
              <w:rPr>
                <w:rFonts w:ascii="Times New Roman" w:eastAsia="Times New Roman" w:hAnsi="Times New Roman" w:cs="Times New Roman"/>
                <w:sz w:val="24"/>
                <w:szCs w:val="24"/>
              </w:rPr>
            </w:pPr>
          </w:p>
        </w:tc>
        <w:tc>
          <w:tcPr>
            <w:tcW w:w="240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842"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316155" w:rsidTr="007F5DDB">
        <w:trPr>
          <w:cantSplit/>
          <w:trHeight w:val="858"/>
          <w:tblHeader/>
        </w:trPr>
        <w:tc>
          <w:tcPr>
            <w:tcW w:w="3156"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409"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560"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842"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Odluka o određivanju lokacije sa elementima UTU-a</w:t>
            </w: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održivog razvoja</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Javnog konkursa za Idejno arhitektonsko rešenje</w:t>
            </w: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Glavne gradske arhitektice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izradu Glavnog projekta </w:t>
            </w:r>
          </w:p>
          <w:p w:rsidR="00E944C2" w:rsidRDefault="00E944C2" w:rsidP="00316155">
            <w:pPr>
              <w:pStyle w:val="Normal1"/>
              <w:spacing w:line="228" w:lineRule="auto"/>
              <w:jc w:val="both"/>
              <w:rPr>
                <w:rFonts w:ascii="Times New Roman" w:eastAsia="Times New Roman" w:hAnsi="Times New Roman" w:cs="Times New Roman"/>
                <w:sz w:val="24"/>
                <w:szCs w:val="24"/>
              </w:rPr>
            </w:pP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 na trasi</w:t>
            </w: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spacing w:line="228" w:lineRule="auto"/>
              <w:jc w:val="both"/>
              <w:rPr>
                <w:rFonts w:ascii="Times New Roman" w:eastAsia="Times New Roman" w:hAnsi="Times New Roman" w:cs="Times New Roman"/>
                <w:sz w:val="24"/>
                <w:szCs w:val="24"/>
              </w:rPr>
            </w:pP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40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60"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184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28"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28" w:lineRule="auto"/>
              <w:jc w:val="both"/>
              <w:rPr>
                <w:rFonts w:ascii="Times New Roman" w:eastAsia="Times New Roman" w:hAnsi="Times New Roman" w:cs="Times New Roman"/>
                <w:sz w:val="24"/>
                <w:szCs w:val="24"/>
              </w:rPr>
            </w:pPr>
          </w:p>
        </w:tc>
      </w:tr>
      <w:tr w:rsidR="00E944C2" w:rsidTr="004D3FA8">
        <w:trPr>
          <w:gridAfter w:val="1"/>
          <w:wAfter w:w="50" w:type="dxa"/>
          <w:cantSplit/>
          <w:trHeight w:val="572"/>
          <w:tblHeader/>
        </w:trPr>
        <w:tc>
          <w:tcPr>
            <w:tcW w:w="8967"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28"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316155">
            <w:pPr>
              <w:pStyle w:val="Normal1"/>
              <w:shd w:val="clear" w:color="auto" w:fill="0070C0"/>
              <w:spacing w:after="0" w:line="228" w:lineRule="auto"/>
              <w:jc w:val="both"/>
              <w:rPr>
                <w:rFonts w:ascii="Times New Roman" w:eastAsia="Times New Roman" w:hAnsi="Times New Roman" w:cs="Times New Roman"/>
                <w:b/>
                <w:sz w:val="24"/>
                <w:szCs w:val="24"/>
              </w:rPr>
            </w:pPr>
          </w:p>
          <w:p w:rsidR="00E944C2" w:rsidRDefault="00E944C2" w:rsidP="00316155">
            <w:pPr>
              <w:pStyle w:val="Normal1"/>
              <w:spacing w:line="228" w:lineRule="auto"/>
              <w:jc w:val="both"/>
              <w:rPr>
                <w:rFonts w:ascii="Times New Roman" w:eastAsia="Times New Roman" w:hAnsi="Times New Roman" w:cs="Times New Roman"/>
                <w:b/>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6033924" cy="4414344"/>
            <wp:effectExtent l="19050" t="19050" r="24130" b="24765"/>
            <wp:docPr id="11" name="image1.jpg"/>
            <wp:cNvGraphicFramePr/>
            <a:graphic xmlns:a="http://schemas.openxmlformats.org/drawingml/2006/main">
              <a:graphicData uri="http://schemas.openxmlformats.org/drawingml/2006/picture">
                <pic:pic xmlns:pic="http://schemas.openxmlformats.org/drawingml/2006/picture">
                  <pic:nvPicPr>
                    <pic:cNvPr id="11" name="image1.jpg"/>
                    <pic:cNvPicPr preferRelativeResize="0"/>
                  </pic:nvPicPr>
                  <pic:blipFill>
                    <a:blip r:embed="rId23" cstate="print"/>
                    <a:srcRect/>
                    <a:stretch>
                      <a:fillRect/>
                    </a:stretch>
                  </pic:blipFill>
                  <pic:spPr>
                    <a:xfrm>
                      <a:off x="0" y="0"/>
                      <a:ext cx="6043715" cy="4421507"/>
                    </a:xfrm>
                    <a:prstGeom prst="rect">
                      <a:avLst/>
                    </a:prstGeom>
                    <a:ln w="9525">
                      <a:solidFill>
                        <a:srgbClr val="000000"/>
                      </a:solidFill>
                      <a:prstDash val="solid"/>
                    </a:ln>
                  </pic:spPr>
                </pic:pic>
              </a:graphicData>
            </a:graphic>
          </wp:inline>
        </w:drawing>
      </w:r>
    </w:p>
    <w:tbl>
      <w:tblPr>
        <w:tblStyle w:val="40"/>
        <w:tblW w:w="8967" w:type="dxa"/>
        <w:tblInd w:w="100" w:type="dxa"/>
        <w:tblLayout w:type="fixed"/>
        <w:tblLook w:val="04A0"/>
      </w:tblPr>
      <w:tblGrid>
        <w:gridCol w:w="8967"/>
      </w:tblGrid>
      <w:tr w:rsidR="00E944C2" w:rsidTr="00316155">
        <w:trPr>
          <w:cantSplit/>
          <w:trHeight w:val="572"/>
          <w:tblHeader/>
        </w:trPr>
        <w:tc>
          <w:tcPr>
            <w:tcW w:w="8967"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8967"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12-</w:t>
            </w:r>
            <w:r>
              <w:rPr>
                <w:rFonts w:ascii="Times New Roman" w:eastAsia="Times New Roman" w:hAnsi="Times New Roman" w:cs="Times New Roman"/>
                <w:sz w:val="24"/>
                <w:szCs w:val="24"/>
              </w:rPr>
              <w:t xml:space="preserve"> TRG BALŠIĆA</w:t>
            </w:r>
          </w:p>
        </w:tc>
      </w:tr>
      <w:tr w:rsidR="00E944C2" w:rsidTr="00316155">
        <w:trPr>
          <w:cantSplit/>
          <w:trHeight w:val="572"/>
          <w:tblHeader/>
        </w:trPr>
        <w:tc>
          <w:tcPr>
            <w:tcW w:w="8967"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KLJUČNI CILJ I IZLAZNI INDIKATORI: </w:t>
            </w:r>
            <w:r>
              <w:rPr>
                <w:rFonts w:ascii="Times New Roman" w:eastAsia="Times New Roman" w:hAnsi="Times New Roman" w:cs="Times New Roman"/>
                <w:color w:val="FFFFFF"/>
                <w:sz w:val="24"/>
                <w:szCs w:val="24"/>
              </w:rPr>
              <w:t>Cilj projekta je da se afirmiše raznovrstan život na otvorenom, u ambijentu užeg gradskog prostora. Smisao projekta je da bude i pokretač za revitalizaciju javnog života u zapostavljenim krajevima punim ambijentalnih potencijala za buduću cijelinu, posebnu zonu užeg centra grada.</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E944C2" w:rsidP="00316155">
            <w:pPr>
              <w:pStyle w:val="Normal1"/>
              <w:jc w:val="both"/>
              <w:rPr>
                <w:sz w:val="24"/>
                <w:szCs w:val="24"/>
              </w:rPr>
            </w:pPr>
          </w:p>
        </w:tc>
      </w:tr>
      <w:tr w:rsidR="00E944C2" w:rsidTr="00316155">
        <w:trPr>
          <w:cantSplit/>
          <w:trHeight w:val="630"/>
          <w:tblHeader/>
        </w:trPr>
        <w:tc>
          <w:tcPr>
            <w:tcW w:w="8967"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Riječ je o projektu na koji građani dugo čekaju, a čija realizacija će donijeti sasvim novi život centru grada, te doprinijeti rasterećenju saobraćaja.</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planiranu namjenu trga i njegovu specifičnu istorijsku funkciju, planirana prenamjena postojećeg parkirališta u gradski trg namijenjen prvenstveno pješacima i djelimično natkriven prostor koji bi se koristio u određenim intervalima za gradsku pijacu – tržnicu, a u drugim kao lijepi prostor za kulturna dešavanja u centru Podgorice. </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Po obodu trga planirane su otvorene terase – bašte kafea i restorana i ostalih ugostiteljskih objekta. </w:t>
            </w:r>
          </w:p>
          <w:p w:rsidR="00E944C2" w:rsidRDefault="00F7666C" w:rsidP="00E36C81">
            <w:pPr>
              <w:pStyle w:val="Normal1"/>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Sa druge strane, saobraćaj u mirovanju će se preusmjeriti u podzemnu garažu ispod novoformiranog trga u dva ili tri nivoa.</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Služba Glavne gradske arhitektice,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n/a” -nema neriješenih - imovinsko pravnih odnosa</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vidu Ideje.</w:t>
            </w:r>
          </w:p>
          <w:p w:rsidR="00E944C2" w:rsidRDefault="00E944C2">
            <w:pPr>
              <w:pStyle w:val="Normal1"/>
              <w:spacing w:after="0" w:line="240" w:lineRule="auto"/>
              <w:jc w:val="both"/>
              <w:rPr>
                <w:rFonts w:ascii="Times New Roman" w:eastAsia="Times New Roman" w:hAnsi="Times New Roman" w:cs="Times New Roman"/>
                <w:sz w:val="24"/>
                <w:szCs w:val="24"/>
              </w:rPr>
            </w:pPr>
          </w:p>
        </w:tc>
      </w:tr>
    </w:tbl>
    <w:p w:rsidR="004D3FA8" w:rsidRDefault="004D3FA8"/>
    <w:tbl>
      <w:tblPr>
        <w:tblStyle w:val="40"/>
        <w:tblW w:w="8967" w:type="dxa"/>
        <w:tblInd w:w="100" w:type="dxa"/>
        <w:tblLayout w:type="fixed"/>
        <w:tblLook w:val="04A0"/>
      </w:tblPr>
      <w:tblGrid>
        <w:gridCol w:w="3297"/>
        <w:gridCol w:w="2552"/>
        <w:gridCol w:w="1559"/>
        <w:gridCol w:w="1418"/>
        <w:gridCol w:w="141"/>
      </w:tblGrid>
      <w:tr w:rsidR="00E944C2" w:rsidTr="00316155">
        <w:trPr>
          <w:cantSplit/>
          <w:trHeight w:val="572"/>
          <w:tblHeader/>
        </w:trPr>
        <w:tc>
          <w:tcPr>
            <w:tcW w:w="8967"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297"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3.000.000,00€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552"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59"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418"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297"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552"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8"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297"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552"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559"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418"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Urbanističko - tehnički uslovi</w:t>
            </w: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Javnog konkursa za Idejno arhitektonsko rešenje</w:t>
            </w: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Glavnog gradskog arhitekte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izradu Glavnog projekta, kao i revizija projekta</w:t>
            </w:r>
          </w:p>
          <w:p w:rsidR="00E944C2" w:rsidRDefault="00E944C2" w:rsidP="00316155">
            <w:pPr>
              <w:pStyle w:val="Normal1"/>
              <w:jc w:val="both"/>
              <w:rPr>
                <w:rFonts w:ascii="Times New Roman" w:eastAsia="Times New Roman" w:hAnsi="Times New Roman" w:cs="Times New Roman"/>
                <w:sz w:val="24"/>
                <w:szCs w:val="24"/>
              </w:rPr>
            </w:pP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p w:rsidR="00E944C2" w:rsidRDefault="00E944C2" w:rsidP="00316155">
            <w:pPr>
              <w:pStyle w:val="Normal1"/>
              <w:jc w:val="both"/>
              <w:rPr>
                <w:rFonts w:ascii="Times New Roman" w:eastAsia="Times New Roman" w:hAnsi="Times New Roman" w:cs="Times New Roman"/>
                <w:sz w:val="24"/>
                <w:szCs w:val="24"/>
              </w:rPr>
            </w:pP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29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55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8967"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jc w:val="both"/>
      </w:pPr>
    </w:p>
    <w:p w:rsidR="00E944C2" w:rsidRDefault="00F7666C" w:rsidP="00316155">
      <w:pPr>
        <w:pStyle w:val="Normal1"/>
        <w:jc w:val="both"/>
      </w:pPr>
      <w:r>
        <w:rPr>
          <w:noProof/>
          <w:lang w:val="en-US" w:eastAsia="en-US"/>
        </w:rPr>
        <w:drawing>
          <wp:inline distT="0" distB="0" distL="0" distR="0">
            <wp:extent cx="6014458" cy="4193627"/>
            <wp:effectExtent l="19050" t="19050" r="24765" b="16510"/>
            <wp:docPr id="25" name="image17.jpg"/>
            <wp:cNvGraphicFramePr/>
            <a:graphic xmlns:a="http://schemas.openxmlformats.org/drawingml/2006/main">
              <a:graphicData uri="http://schemas.openxmlformats.org/drawingml/2006/picture">
                <pic:pic xmlns:pic="http://schemas.openxmlformats.org/drawingml/2006/picture">
                  <pic:nvPicPr>
                    <pic:cNvPr id="25" name="image17.jpg"/>
                    <pic:cNvPicPr preferRelativeResize="0"/>
                  </pic:nvPicPr>
                  <pic:blipFill>
                    <a:blip r:embed="rId24" cstate="print"/>
                    <a:srcRect/>
                    <a:stretch>
                      <a:fillRect/>
                    </a:stretch>
                  </pic:blipFill>
                  <pic:spPr>
                    <a:xfrm>
                      <a:off x="0" y="0"/>
                      <a:ext cx="6031439" cy="4205467"/>
                    </a:xfrm>
                    <a:prstGeom prst="rect">
                      <a:avLst/>
                    </a:prstGeom>
                    <a:ln w="12700">
                      <a:solidFill>
                        <a:srgbClr val="000000"/>
                      </a:solidFill>
                      <a:prstDash val="solid"/>
                    </a:ln>
                  </pic:spPr>
                </pic:pic>
              </a:graphicData>
            </a:graphic>
          </wp:inline>
        </w:drawing>
      </w:r>
      <w:r w:rsidR="00290C90" w:rsidRPr="00290C90">
        <w:rPr>
          <w:noProof/>
        </w:rPr>
        <w:pict>
          <v:rect id="Rectangle 1" o:spid="_x0000_s1030" style="position:absolute;left:0;text-align:left;margin-left:239.85pt;margin-top:177.75pt;width:89.9pt;height:106.55pt;z-index:251666432;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" filled="f" strokecolor="#2f5496" strokeweight="4.5pt">
            <v:stroke startarrowwidth="narrow" startarrowlength="short" endarrowwidth="narrow" endarrowlength="short"/>
            <v:path arrowok="t"/>
            <v:textbox inset="2.53958mm,2.53958mm,2.53958mm,2.53958mm">
              <w:txbxContent>
                <w:p w:rsidR="006A0398" w:rsidRDefault="006A0398">
                  <w:pPr>
                    <w:spacing w:after="0" w:line="240" w:lineRule="auto"/>
                  </w:pPr>
                </w:p>
              </w:txbxContent>
            </v:textbox>
          </v:rect>
        </w:pict>
      </w:r>
    </w:p>
    <w:tbl>
      <w:tblPr>
        <w:tblStyle w:val="39"/>
        <w:tblW w:w="9159" w:type="dxa"/>
        <w:tblInd w:w="100" w:type="dxa"/>
        <w:tblLayout w:type="fixed"/>
        <w:tblLook w:val="04A0"/>
      </w:tblPr>
      <w:tblGrid>
        <w:gridCol w:w="3723"/>
        <w:gridCol w:w="2835"/>
        <w:gridCol w:w="1134"/>
        <w:gridCol w:w="1417"/>
        <w:gridCol w:w="50"/>
      </w:tblGrid>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858"/>
          <w:tblHeader/>
        </w:trPr>
        <w:tc>
          <w:tcPr>
            <w:tcW w:w="9109"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13-</w:t>
            </w:r>
            <w:r>
              <w:rPr>
                <w:rFonts w:ascii="Times New Roman" w:eastAsia="Times New Roman" w:hAnsi="Times New Roman" w:cs="Times New Roman"/>
                <w:sz w:val="24"/>
                <w:szCs w:val="24"/>
              </w:rPr>
              <w:t xml:space="preserve"> TRG BOŽANE VUČINIĆ</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r>
              <w:rPr>
                <w:rFonts w:ascii="Times New Roman" w:eastAsia="Times New Roman" w:hAnsi="Times New Roman" w:cs="Times New Roman"/>
                <w:color w:val="FFFFFF"/>
                <w:sz w:val="24"/>
                <w:szCs w:val="24"/>
              </w:rPr>
              <w:t>Cilj ovog projekta je da se oplemeni/ uredi prostor nekadašnjeg Trga i da se saobraćaj u mirovanju izmjesti na podzemne etaže, kako bi se prostor platoa mogao koristiti za druge sadržaje – ugostiteljstvo i parkovske površine</w:t>
            </w:r>
            <w:r>
              <w:rPr>
                <w:rFonts w:ascii="Times New Roman" w:eastAsia="Times New Roman" w:hAnsi="Times New Roman" w:cs="Times New Roman"/>
                <w:b/>
                <w:color w:val="FFFFFF"/>
                <w:sz w:val="24"/>
                <w:szCs w:val="24"/>
              </w:rPr>
              <w:t>.</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E944C2" w:rsidP="00316155">
            <w:pPr>
              <w:pStyle w:val="Normal1"/>
              <w:jc w:val="both"/>
              <w:rPr>
                <w:sz w:val="24"/>
                <w:szCs w:val="24"/>
              </w:rPr>
            </w:pPr>
          </w:p>
        </w:tc>
      </w:tr>
      <w:tr w:rsidR="00E944C2" w:rsidTr="00316155">
        <w:trPr>
          <w:gridAfter w:val="1"/>
          <w:wAfter w:w="50" w:type="dxa"/>
          <w:cantSplit/>
          <w:trHeight w:val="630"/>
          <w:tblHeader/>
        </w:trPr>
        <w:tc>
          <w:tcPr>
            <w:tcW w:w="9109"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Predmet Glavnog projekta je trg sa podzemnom garažom. Izradi projekta pristupilo se u skladu sa: Odlukom o određivanju lokacije sa elementima urbanističko - tehničkih uslova za lokalni objekat od opšteg interesa – uređenje Trga Božane Vučinić u zahvatu Prostorno urbanističkog plana Glavnog grada Podgorice. Površina lokacije iznosi 8.400m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E944C2" w:rsidRDefault="00E944C2" w:rsidP="00E36C81">
            <w:pPr>
              <w:pStyle w:val="Normal1"/>
              <w:spacing w:after="0" w:line="276" w:lineRule="auto"/>
              <w:jc w:val="both"/>
              <w:rPr>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Ministarstvo javnih radova</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Agencija za izgradnju i razvoj Podgorice,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xml:space="preserve"> n/a” -nemaneriješenih - imovinsko pravnih odnosa</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Ministarstvo Javnih radova priprema dokumentaciju za raspisivanje Javnog poziva za izradu Glavnog projekta i za odabir Izvođača radova</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723"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18.000.000,00€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-Kapitalni budžet</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835"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3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417"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723"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835"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7"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723"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835"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134"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417"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735"/>
          <w:tblHeader/>
        </w:trPr>
        <w:tc>
          <w:tcPr>
            <w:tcW w:w="3723"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Obezbjeđivanje Idejnog rešenja</w:t>
            </w:r>
          </w:p>
        </w:tc>
        <w:tc>
          <w:tcPr>
            <w:tcW w:w="2835"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735"/>
          <w:tblHeader/>
        </w:trPr>
        <w:tc>
          <w:tcPr>
            <w:tcW w:w="3723"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Projektanta za izradu Glavnog projekta i Izvođača radova</w:t>
            </w:r>
          </w:p>
        </w:tc>
        <w:tc>
          <w:tcPr>
            <w:tcW w:w="2835"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Javnih radova</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134"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630"/>
          <w:tblHeader/>
        </w:trPr>
        <w:tc>
          <w:tcPr>
            <w:tcW w:w="3723"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Stručnog nadzora na predmetnom objektu </w:t>
            </w:r>
          </w:p>
        </w:tc>
        <w:tc>
          <w:tcPr>
            <w:tcW w:w="2835"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Javnih radova</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c>
          <w:tcPr>
            <w:tcW w:w="1134"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630"/>
          <w:tblHeader/>
        </w:trPr>
        <w:tc>
          <w:tcPr>
            <w:tcW w:w="3723"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835"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134"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630"/>
          <w:tblHeader/>
        </w:trPr>
        <w:tc>
          <w:tcPr>
            <w:tcW w:w="3723"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835"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000000"/>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F7666C" w:rsidP="00316155">
            <w:pPr>
              <w:pStyle w:val="Normal1"/>
              <w:shd w:val="clear" w:color="auto" w:fill="0070C0"/>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Zahvat trga će biti definisan Idejnim rešenjem</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jc w:val="both"/>
        <w:rPr>
          <w:rFonts w:ascii="Times New Roman" w:eastAsia="Times New Roman" w:hAnsi="Times New Roman" w:cs="Times New Roman"/>
          <w:sz w:val="24"/>
          <w:szCs w:val="24"/>
        </w:rPr>
      </w:pPr>
    </w:p>
    <w:tbl>
      <w:tblPr>
        <w:tblStyle w:val="38"/>
        <w:tblW w:w="9443" w:type="dxa"/>
        <w:tblInd w:w="100" w:type="dxa"/>
        <w:tblLayout w:type="fixed"/>
        <w:tblLook w:val="04A0"/>
      </w:tblPr>
      <w:tblGrid>
        <w:gridCol w:w="3174"/>
        <w:gridCol w:w="2533"/>
        <w:gridCol w:w="1701"/>
        <w:gridCol w:w="1985"/>
        <w:gridCol w:w="50"/>
      </w:tblGrid>
      <w:tr w:rsidR="00E944C2" w:rsidTr="00316155">
        <w:trPr>
          <w:gridAfter w:val="1"/>
          <w:wAfter w:w="50" w:type="dxa"/>
          <w:cantSplit/>
          <w:trHeight w:val="572"/>
          <w:tblHeader/>
        </w:trPr>
        <w:tc>
          <w:tcPr>
            <w:tcW w:w="9393"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noProof/>
                <w:sz w:val="24"/>
                <w:szCs w:val="24"/>
                <w:lang w:val="en-US" w:eastAsia="en-US"/>
              </w:rPr>
              <w:drawing>
                <wp:inline distT="0" distB="0" distL="0" distR="0">
                  <wp:extent cx="5813207" cy="4698124"/>
                  <wp:effectExtent l="19050" t="19050" r="16510" b="26670"/>
                  <wp:docPr id="9" name="image9.jpg"/>
                  <wp:cNvGraphicFramePr/>
                  <a:graphic xmlns:a="http://schemas.openxmlformats.org/drawingml/2006/main">
                    <a:graphicData uri="http://schemas.openxmlformats.org/drawingml/2006/picture">
                      <pic:pic xmlns:pic="http://schemas.openxmlformats.org/drawingml/2006/picture">
                        <pic:nvPicPr>
                          <pic:cNvPr id="9" name="image9.jpg"/>
                          <pic:cNvPicPr preferRelativeResize="0"/>
                        </pic:nvPicPr>
                        <pic:blipFill>
                          <a:blip r:embed="rId25" cstate="print"/>
                          <a:srcRect/>
                          <a:stretch>
                            <a:fillRect/>
                          </a:stretch>
                        </pic:blipFill>
                        <pic:spPr>
                          <a:xfrm>
                            <a:off x="0" y="0"/>
                            <a:ext cx="5818818" cy="4702658"/>
                          </a:xfrm>
                          <a:prstGeom prst="rect">
                            <a:avLst/>
                          </a:prstGeom>
                          <a:ln w="9525">
                            <a:solidFill>
                              <a:srgbClr val="000000"/>
                            </a:solidFill>
                            <a:prstDash val="solid"/>
                          </a:ln>
                        </pic:spPr>
                      </pic:pic>
                    </a:graphicData>
                  </a:graphic>
                </wp:inline>
              </w:drawing>
            </w:r>
            <w:r w:rsidR="00290C90" w:rsidRPr="00290C90">
              <w:rPr>
                <w:noProof/>
              </w:rPr>
              <w:pict>
                <v:rect id="Rectangle 4" o:spid="_x0000_s1031" style="position:absolute;left:0;text-align:left;margin-left:172.8pt;margin-top:163.9pt;width:89.9pt;height:165.25pt;z-index:251667456;visibility:visible;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" filled="f" strokecolor="#2f5496" strokeweight="4.5pt">
                  <v:stroke startarrowwidth="narrow" startarrowlength="short" endarrowwidth="narrow" endarrowlength="short"/>
                  <v:path arrowok="t"/>
                  <v:textbox inset="2.53958mm,2.53958mm,2.53958mm,2.53958mm">
                    <w:txbxContent>
                      <w:p w:rsidR="006A0398" w:rsidRDefault="006A0398">
                        <w:pPr>
                          <w:spacing w:after="0" w:line="240" w:lineRule="auto"/>
                        </w:pPr>
                      </w:p>
                    </w:txbxContent>
                  </v:textbox>
                </v:rect>
              </w:pict>
            </w: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858"/>
          <w:tblHeader/>
        </w:trPr>
        <w:tc>
          <w:tcPr>
            <w:tcW w:w="9393"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14-</w:t>
            </w:r>
            <w:r>
              <w:rPr>
                <w:rFonts w:ascii="Times New Roman" w:eastAsia="Times New Roman" w:hAnsi="Times New Roman" w:cs="Times New Roman"/>
                <w:sz w:val="24"/>
                <w:szCs w:val="24"/>
              </w:rPr>
              <w:t xml:space="preserve"> TRG GOLOOTOČKIH ŽRTAVA</w:t>
            </w:r>
          </w:p>
        </w:tc>
      </w:tr>
      <w:tr w:rsidR="00E944C2" w:rsidTr="00316155">
        <w:trPr>
          <w:gridAfter w:val="1"/>
          <w:wAfter w:w="50" w:type="dxa"/>
          <w:cantSplit/>
          <w:trHeight w:val="572"/>
          <w:tblHeader/>
        </w:trPr>
        <w:tc>
          <w:tcPr>
            <w:tcW w:w="9393"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E36C81">
            <w:pPr>
              <w:pStyle w:val="Normal1"/>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F7666C" w:rsidP="00E36C81">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 se afirmiše raznovrstan život na otvorenom, u ambijentu malog gradskog prostora. Ovakav projekat ide u sklopu sa planiranjem-stimulisanjem, na čemu je Glavni grad počeo raditi, naročito zanatskim i pratećim uslužnim djelatnostima koje se mogu spajati sa raznorodnim poslovnim, izložbenim i dr. sadržajima. Dakle smisao projekta je da bude i pokretač za revitalizaciju javnog života u zapostavljenim krajevima punim ambijentalnih potencijala za buduću cijelinu, posebnu zonu starog grada.</w:t>
            </w:r>
          </w:p>
          <w:p w:rsidR="00E944C2" w:rsidRDefault="00F7666C" w:rsidP="00E36C81">
            <w:pPr>
              <w:pStyle w:val="Normal1"/>
              <w:jc w:val="both"/>
              <w:rPr>
                <w:rFonts w:ascii="Times New Roman" w:eastAsia="Times New Roman" w:hAnsi="Times New Roman" w:cs="Times New Roman"/>
                <w:b/>
                <w:color w:val="FFFFFF"/>
                <w:sz w:val="24"/>
                <w:szCs w:val="24"/>
              </w:rPr>
            </w:pPr>
            <w:r>
              <w:rPr>
                <w:rFonts w:ascii="Times New Roman" w:eastAsia="Times New Roman" w:hAnsi="Times New Roman" w:cs="Times New Roman"/>
                <w:color w:val="FFFFFF"/>
                <w:sz w:val="24"/>
                <w:szCs w:val="24"/>
              </w:rPr>
              <w:t>Postojeći parkinzi svojim kapacitetom ne zadovolјavaju potrebe za stacioniranjem vozila kako lokalnog stanovništva, tako i dnevnih potreba zaposlenih i korisnika postojećih sadržaja. Obaveza organa lokalne uprave je da realizuje viši nivo kvaliteta transportnih usluga u cilju obezbjeđivanja parking prostora, obzirom na uočene nedostatke i potencijale prostora koje pruža Trg Golootočkih žrtava, kao i da realizuje obaveze koje su usmjerene na obezbjeđenje kvalitetne mobilnosti stanovnika. Iz navedenih razloga optimizacija strukture i funkcionisanja gradova i njihovih transportnih sistema je veoma složen i odgovoran posao sa dalekosežnim posledicama u svim sferama života njegovih stanovnika. Održivi razvoj i kvalitet života u gradovima čine gradove pogodnim za život. Osim toga, rješavanjem problema nedostatka parking mjesta, obogaćivanjem sadržaja na površini poslovno komercijalnim sadržajima, projektovanjem liftova, sami trg dobija funkcionalno urbanističko-arhitektonsko rješenje sa riješenim pitanjima dinamičkog i stacioniranog saobraćaja, što odaje utisak komfora i bezbjednosti i utiče na povećanje kvaliteta života u gradu uopšte, jer se utiče na smanjenje nivo sabraćajne gužve, oživljavanje lokacije i njene okoline, povećanju broja radnih mjesta, oživljavanje postojeće lokacije i sl. Na taj način se podstiče privredni i socijalni razvoj društva, kao i održivi razvoj, te se utiče na unaprjeđenje kvaliteta životne sredine i ekologije što će samo po sebi doprinijeti rastu kvaliteta života građana.</w:t>
            </w:r>
          </w:p>
          <w:p w:rsidR="00E944C2" w:rsidRDefault="00E944C2" w:rsidP="00E36C81">
            <w:pPr>
              <w:pStyle w:val="Normal1"/>
              <w:jc w:val="both"/>
              <w:rPr>
                <w:sz w:val="24"/>
                <w:szCs w:val="24"/>
              </w:rPr>
            </w:pPr>
          </w:p>
        </w:tc>
      </w:tr>
      <w:tr w:rsidR="00E944C2" w:rsidTr="00316155">
        <w:trPr>
          <w:gridAfter w:val="1"/>
          <w:wAfter w:w="50" w:type="dxa"/>
          <w:cantSplit/>
          <w:trHeight w:val="630"/>
          <w:tblHeader/>
        </w:trPr>
        <w:tc>
          <w:tcPr>
            <w:tcW w:w="9393"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E944C2" w:rsidP="00E36C81">
            <w:pPr>
              <w:pStyle w:val="Normal1"/>
              <w:spacing w:after="0"/>
              <w:jc w:val="both"/>
              <w:rPr>
                <w:rFonts w:ascii="Times New Roman" w:eastAsia="Times New Roman" w:hAnsi="Times New Roman" w:cs="Times New Roman"/>
                <w:b/>
                <w:sz w:val="24"/>
                <w:szCs w:val="24"/>
              </w:rPr>
            </w:pP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Trg Golootočkih žrtava determinisan je sa dva važna saobraćajna objekta - autobuskom stanicom i željezničkom stanicom, te s toga predstavlja važno saobraćajno čvorište i prvi susret putnika sa gradom.</w:t>
            </w: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je u prvoj polovini 2021.godine sproveo međunarodni konkurs za izbor najboljeg idejnog urbanističko-arhitektonskog rješenja Trga golootočkih žrtava. U tom procesu stručni žiri je prvu nagradu dodijelio radu autorskog tima Andrea Govi i Antonio La Marka. Na osnovu p</w:t>
            </w:r>
            <w:r>
              <w:rPr>
                <w:rFonts w:ascii="Times New Roman" w:eastAsia="Times New Roman" w:hAnsi="Times New Roman" w:cs="Times New Roman"/>
                <w:b/>
                <w:sz w:val="24"/>
                <w:szCs w:val="24"/>
              </w:rPr>
              <w:t>rihvaćenog Idejnog rešenja izdati su urbanističko-tehnički uslovi broj D 08-332/23-1487 od 24.9.2023. godine od strane nadležnog Sekretarijata za planiranje prostora i održivi razvoj.</w:t>
            </w:r>
            <w:r>
              <w:rPr>
                <w:rFonts w:ascii="Times New Roman" w:eastAsia="Times New Roman" w:hAnsi="Times New Roman" w:cs="Times New Roman"/>
                <w:sz w:val="24"/>
                <w:szCs w:val="24"/>
              </w:rPr>
              <w:t xml:space="preserve"> Prvorangirano idejno rješenje je, uz izvršene korekcije zatražene od žirija, inkorporirano u važeći planski dokument DUP „Drač, putnički terminal” na osnovu kog su izdati urbanističko-tehnički uslovi.</w:t>
            </w: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Ukupna površina na kojoj se predviđa izgradnja Trga iznosi 20.809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Idejnim rješenjem trga planirana je potpuna integracija trga sa platoom željezničke i autobuske stanice, sa popločanjem trga, ozelenjavanjem i postavljanjem urbanog mobilijara.</w:t>
            </w:r>
          </w:p>
          <w:p w:rsidR="00E944C2" w:rsidRDefault="00E944C2" w:rsidP="00E36C81">
            <w:pPr>
              <w:pStyle w:val="Normal1"/>
              <w:spacing w:after="0" w:line="276" w:lineRule="auto"/>
              <w:jc w:val="both"/>
              <w:rPr>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 za planiranje prostora i održivi razvoj, Ministarstvo javnih radova, Direkcija za imovinu/ Uprava za nekretnine</w:t>
            </w:r>
          </w:p>
          <w:p w:rsidR="00E944C2" w:rsidRDefault="00E944C2">
            <w:pPr>
              <w:pStyle w:val="Normal1"/>
              <w:spacing w:after="0" w:line="240" w:lineRule="auto"/>
              <w:jc w:val="both"/>
              <w:rPr>
                <w:rFonts w:ascii="Times New Roman" w:eastAsia="Times New Roman" w:hAnsi="Times New Roman" w:cs="Times New Roman"/>
                <w:b/>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xml:space="preserve"> n/a” -postoje neriješeni - imovinsko pravni odnosi. Uslov za realizaciju su prethodno riješeni imovinsko pravni odnosi.</w:t>
            </w:r>
          </w:p>
          <w:p w:rsidR="00E944C2" w:rsidRDefault="00E944C2">
            <w:pPr>
              <w:pStyle w:val="Normal1"/>
              <w:spacing w:after="0" w:line="240" w:lineRule="auto"/>
              <w:jc w:val="both"/>
              <w:rPr>
                <w:rFonts w:ascii="Times New Roman" w:eastAsia="Times New Roman" w:hAnsi="Times New Roman" w:cs="Times New Roman"/>
                <w:b/>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Izrada Glavnog projekta u toku</w:t>
            </w:r>
          </w:p>
          <w:p w:rsidR="00E944C2" w:rsidRDefault="00E944C2">
            <w:pPr>
              <w:pStyle w:val="Normal1"/>
              <w:spacing w:after="0" w:line="240" w:lineRule="auto"/>
              <w:jc w:val="both"/>
              <w:rPr>
                <w:rFonts w:ascii="Times New Roman" w:eastAsia="Times New Roman" w:hAnsi="Times New Roman" w:cs="Times New Roman"/>
                <w:sz w:val="24"/>
                <w:szCs w:val="24"/>
              </w:rPr>
            </w:pPr>
          </w:p>
          <w:p w:rsidR="00E944C2" w:rsidRDefault="00E944C2">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393"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174"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30.000.000,00€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2533"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0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985"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174"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53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985"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174"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533"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985"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7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Javnog poziva za odabir Izvođača radova i Stručnog nadzora na predmetnoj trasi</w:t>
            </w:r>
          </w:p>
        </w:tc>
        <w:tc>
          <w:tcPr>
            <w:tcW w:w="25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javnih radova</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7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Rešavanje imovinsko - pravnih odnosa</w:t>
            </w:r>
          </w:p>
        </w:tc>
        <w:tc>
          <w:tcPr>
            <w:tcW w:w="25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 Uprava za nekretnine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7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Građevinska dozvola </w:t>
            </w:r>
          </w:p>
        </w:tc>
        <w:tc>
          <w:tcPr>
            <w:tcW w:w="25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Sekretarijat za planiranje prostora i održivi razvoj</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7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53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9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64397C" w:rsidTr="0064397C">
        <w:trPr>
          <w:gridAfter w:val="1"/>
          <w:wAfter w:w="50" w:type="dxa"/>
          <w:cantSplit/>
          <w:trHeight w:val="572"/>
          <w:tblHeader/>
        </w:trPr>
        <w:tc>
          <w:tcPr>
            <w:tcW w:w="9393"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64397C" w:rsidRDefault="0064397C" w:rsidP="002F3E03">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64397C" w:rsidRDefault="0064397C"/>
    <w:p w:rsidR="0064397C" w:rsidRDefault="0064397C"/>
    <w:p w:rsidR="0064397C" w:rsidRDefault="0064397C"/>
    <w:tbl>
      <w:tblPr>
        <w:tblStyle w:val="37"/>
        <w:tblW w:w="9393" w:type="dxa"/>
        <w:tblInd w:w="100" w:type="dxa"/>
        <w:tblLayout w:type="fixed"/>
        <w:tblLook w:val="04A0"/>
      </w:tblPr>
      <w:tblGrid>
        <w:gridCol w:w="9393"/>
      </w:tblGrid>
      <w:tr w:rsidR="00E944C2" w:rsidTr="00316155">
        <w:trPr>
          <w:cantSplit/>
          <w:trHeight w:val="572"/>
          <w:tblHeader/>
        </w:trPr>
        <w:tc>
          <w:tcPr>
            <w:tcW w:w="9393"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noProof/>
                <w:sz w:val="24"/>
                <w:szCs w:val="24"/>
                <w:lang w:val="en-US" w:eastAsia="en-US"/>
              </w:rPr>
              <w:drawing>
                <wp:inline distT="0" distB="0" distL="0" distR="0">
                  <wp:extent cx="6056783" cy="4524704"/>
                  <wp:effectExtent l="19050" t="19050" r="20320" b="28575"/>
                  <wp:docPr id="18" name="image5.jpg"/>
                  <wp:cNvGraphicFramePr/>
                  <a:graphic xmlns:a="http://schemas.openxmlformats.org/drawingml/2006/main">
                    <a:graphicData uri="http://schemas.openxmlformats.org/drawingml/2006/picture">
                      <pic:pic xmlns:pic="http://schemas.openxmlformats.org/drawingml/2006/picture">
                        <pic:nvPicPr>
                          <pic:cNvPr id="18" name="image5.jpg"/>
                          <pic:cNvPicPr preferRelativeResize="0"/>
                        </pic:nvPicPr>
                        <pic:blipFill>
                          <a:blip r:embed="rId26" cstate="print"/>
                          <a:srcRect/>
                          <a:stretch>
                            <a:fillRect/>
                          </a:stretch>
                        </pic:blipFill>
                        <pic:spPr>
                          <a:xfrm>
                            <a:off x="0" y="0"/>
                            <a:ext cx="6063608" cy="4529802"/>
                          </a:xfrm>
                          <a:prstGeom prst="rect">
                            <a:avLst/>
                          </a:prstGeom>
                          <a:ln w="9525">
                            <a:solidFill>
                              <a:srgbClr val="000000"/>
                            </a:solidFill>
                            <a:prstDash val="solid"/>
                          </a:ln>
                        </pic:spPr>
                      </pic:pic>
                    </a:graphicData>
                  </a:graphic>
                </wp:inline>
              </w:drawing>
            </w:r>
            <w:r w:rsidR="004D3FA8">
              <w:rPr>
                <w:rFonts w:ascii="Times New Roman" w:eastAsia="Times New Roman" w:hAnsi="Times New Roman" w:cs="Times New Roman"/>
                <w:b/>
                <w:color w:val="FFFFFF"/>
                <w:sz w:val="24"/>
                <w:szCs w:val="24"/>
              </w:rPr>
              <w:t>S</w:t>
            </w:r>
            <w:r>
              <w:rPr>
                <w:rFonts w:ascii="Times New Roman" w:eastAsia="Times New Roman" w:hAnsi="Times New Roman" w:cs="Times New Roman"/>
                <w:b/>
                <w:color w:val="FFFFFF"/>
                <w:sz w:val="24"/>
                <w:szCs w:val="24"/>
              </w:rPr>
              <w:t xml:space="preserve">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393"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15-</w:t>
            </w:r>
            <w:r>
              <w:rPr>
                <w:rFonts w:ascii="Times New Roman" w:eastAsia="Times New Roman" w:hAnsi="Times New Roman" w:cs="Times New Roman"/>
                <w:sz w:val="24"/>
                <w:szCs w:val="24"/>
              </w:rPr>
              <w:t xml:space="preserve"> REKONSTRUKCIJE LOKALNOG OBJEKTA OD OPŠTEG INTERESA – SPORTSKOG OBJEKTA SC „LJUBOVIĆ“</w:t>
            </w:r>
          </w:p>
        </w:tc>
      </w:tr>
      <w:tr w:rsidR="00E944C2" w:rsidTr="00316155">
        <w:trPr>
          <w:cantSplit/>
          <w:trHeight w:val="572"/>
          <w:tblHeader/>
        </w:trPr>
        <w:tc>
          <w:tcPr>
            <w:tcW w:w="9393"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spacing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Streljački centar „Ljubović“, izgrađen 1981. godine, trenutno se nalazi u stanju koje nije zadovoljavajuće i samo djelimično se koristi kako je prvobitno zamišljeno. Cilj projekta rekonstrukcije je saniranje objekta i poboljšanje uslova korišćenja kroz uvođenje novih sportskih sadržaja namijenjenih prvenstveno trening procesu za više sportova.</w:t>
            </w:r>
          </w:p>
          <w:p w:rsidR="00E944C2" w:rsidRDefault="00E944C2" w:rsidP="00E36C81">
            <w:pPr>
              <w:pStyle w:val="Normal1"/>
              <w:spacing w:after="0" w:line="276" w:lineRule="auto"/>
              <w:jc w:val="both"/>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9393"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Predmetni objekti SC „Ljubović“ se nalaze u Ulici Radosava Burića sa koje se pristupa lokciji. Pomenuta ulica je sa jugoistočne strane lokacije, na južnoj strani je objekat Zavoda za seizmologiju, dok je na zapadnoj i sjeverozapadnoj strani brdo Ljubović. Lokacija za građenje je na sjeveroistočnoj strani definisana objektom br. 3 kompleksa SC „Ljubović“ u kom je trenutno smještena Agencija za upravljanje zaštićenim područjima Podgorice. </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Objekat br. 1 je</w:t>
            </w:r>
            <w:r>
              <w:rPr>
                <w:rFonts w:ascii="Times New Roman" w:eastAsia="Times New Roman" w:hAnsi="Times New Roman" w:cs="Times New Roman"/>
                <w:sz w:val="24"/>
                <w:szCs w:val="24"/>
              </w:rPr>
              <w:t xml:space="preserve"> prizemni, dimenzija u osnovi 67 m x 9 m, sa karakterističnim zemljanim nasipom na prednjoj strani koji je u nagibu koji odgovara nagibu krova. Nasip počinje kamenim zidom, a završava se kod parapeta niskih prozorskih traka iznad kojih je vijenac krova. Fasadom objekta dominiraju tri materijala – kamen, beton i lim, uz zatravljene djelove nasipa. Objekat je služio za streljačke discipline na daljinama do 50 m. Prostor strelišta koji se prostire sa zadnje strane objekta prema brdu Ljubović</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Objekat br. 2 je</w:t>
            </w:r>
            <w:r>
              <w:rPr>
                <w:rFonts w:ascii="Times New Roman" w:eastAsia="Times New Roman" w:hAnsi="Times New Roman" w:cs="Times New Roman"/>
                <w:sz w:val="24"/>
                <w:szCs w:val="24"/>
              </w:rPr>
              <w:t xml:space="preserve"> takođe prizemni, dimenzija u osnovi cca 45m x 11m istih oblikovnih karakteristika kao objekat br. 1. Izgrađen je za potrebe streljačkih disciplina na daljinama do 25m i u te svrhe se i danas koristi.</w:t>
            </w:r>
          </w:p>
          <w:p w:rsidR="00E944C2" w:rsidRDefault="00E944C2" w:rsidP="00E36C81">
            <w:pPr>
              <w:pStyle w:val="Normal1"/>
              <w:widowControl w:val="0"/>
              <w:spacing w:after="0" w:line="225" w:lineRule="auto"/>
              <w:jc w:val="both"/>
              <w:rPr>
                <w:rFonts w:ascii="Times New Roman" w:eastAsia="Times New Roman" w:hAnsi="Times New Roman" w:cs="Times New Roman"/>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odnosa:n/a” -</w:t>
            </w:r>
            <w:r>
              <w:rPr>
                <w:rFonts w:ascii="Times New Roman" w:eastAsia="Times New Roman" w:hAnsi="Times New Roman" w:cs="Times New Roman"/>
                <w:sz w:val="24"/>
                <w:szCs w:val="24"/>
              </w:rPr>
              <w:t>nema neriješenih imovinsko – pravnih odnosa.</w:t>
            </w:r>
          </w:p>
          <w:p w:rsidR="00E944C2" w:rsidRDefault="00E944C2">
            <w:pPr>
              <w:pStyle w:val="Normal1"/>
              <w:spacing w:after="0" w:line="240" w:lineRule="auto"/>
              <w:jc w:val="both"/>
              <w:rPr>
                <w:rFonts w:ascii="Times New Roman" w:eastAsia="Times New Roman" w:hAnsi="Times New Roman" w:cs="Times New Roman"/>
                <w:b/>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Objavljen Javni poziv za odabir Projektanta za izradu Glavnog projekta. Procijenjena vrijednost nabavke je 100.000,00</w:t>
            </w:r>
          </w:p>
        </w:tc>
      </w:tr>
    </w:tbl>
    <w:p w:rsidR="0064397C" w:rsidRDefault="0064397C"/>
    <w:tbl>
      <w:tblPr>
        <w:tblStyle w:val="37"/>
        <w:tblW w:w="9393" w:type="dxa"/>
        <w:tblInd w:w="100" w:type="dxa"/>
        <w:tblLayout w:type="fixed"/>
        <w:tblLook w:val="04A0"/>
      </w:tblPr>
      <w:tblGrid>
        <w:gridCol w:w="3156"/>
        <w:gridCol w:w="2976"/>
        <w:gridCol w:w="1276"/>
        <w:gridCol w:w="1701"/>
        <w:gridCol w:w="284"/>
      </w:tblGrid>
      <w:tr w:rsidR="00E944C2" w:rsidTr="00316155">
        <w:trPr>
          <w:cantSplit/>
          <w:trHeight w:val="572"/>
          <w:tblHeader/>
        </w:trPr>
        <w:tc>
          <w:tcPr>
            <w:tcW w:w="9393"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156"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2.500.000,00€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976"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276"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701"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156"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97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701"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156"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976"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276"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701"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i revizija Glavnog projekta</w:t>
            </w:r>
          </w:p>
          <w:p w:rsidR="00E944C2" w:rsidRDefault="00E944C2" w:rsidP="00316155">
            <w:pPr>
              <w:pStyle w:val="Normal1"/>
              <w:jc w:val="both"/>
              <w:rPr>
                <w:rFonts w:ascii="Times New Roman" w:eastAsia="Times New Roman" w:hAnsi="Times New Roman" w:cs="Times New Roman"/>
                <w:sz w:val="24"/>
                <w:szCs w:val="24"/>
              </w:rPr>
            </w:pPr>
          </w:p>
        </w:tc>
        <w:tc>
          <w:tcPr>
            <w:tcW w:w="29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odabir Izvođača radova i Stručnog nadzora </w:t>
            </w:r>
          </w:p>
        </w:tc>
        <w:tc>
          <w:tcPr>
            <w:tcW w:w="29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9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15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9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70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4"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9393"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hd w:val="clear" w:color="auto" w:fill="0070C0"/>
              <w:spacing w:after="0" w:line="240" w:lineRule="auto"/>
              <w:jc w:val="both"/>
              <w:rPr>
                <w:rFonts w:ascii="Times New Roman" w:eastAsia="Times New Roman" w:hAnsi="Times New Roman" w:cs="Times New Roman"/>
                <w:b/>
                <w:sz w:val="24"/>
                <w:szCs w:val="24"/>
              </w:rPr>
            </w:pP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noProof/>
          <w:lang w:val="en-US" w:eastAsia="en-US"/>
        </w:rPr>
        <w:drawing>
          <wp:anchor distT="0" distB="0" distL="114300" distR="114300" simplePos="0" relativeHeight="251668480" behindDoc="0" locked="0" layoutInCell="1" allowOverlap="1">
            <wp:simplePos x="0" y="0"/>
            <wp:positionH relativeFrom="column">
              <wp:posOffset>62865</wp:posOffset>
            </wp:positionH>
            <wp:positionV relativeFrom="paragraph">
              <wp:posOffset>535940</wp:posOffset>
            </wp:positionV>
            <wp:extent cx="6069330" cy="4366260"/>
            <wp:effectExtent l="19050" t="19050" r="26670" b="15240"/>
            <wp:wrapSquare wrapText="bothSides"/>
            <wp:docPr id="24" name="image12.jpg"/>
            <wp:cNvGraphicFramePr/>
            <a:graphic xmlns:a="http://schemas.openxmlformats.org/drawingml/2006/main">
              <a:graphicData uri="http://schemas.openxmlformats.org/drawingml/2006/picture">
                <pic:pic xmlns:pic="http://schemas.openxmlformats.org/drawingml/2006/picture">
                  <pic:nvPicPr>
                    <pic:cNvPr id="24" name="image12.jpg"/>
                    <pic:cNvPicPr preferRelativeResize="0"/>
                  </pic:nvPicPr>
                  <pic:blipFill>
                    <a:blip r:embed="rId27" cstate="print"/>
                    <a:srcRect/>
                    <a:stretch>
                      <a:fillRect/>
                    </a:stretch>
                  </pic:blipFill>
                  <pic:spPr>
                    <a:xfrm>
                      <a:off x="0" y="0"/>
                      <a:ext cx="6069330" cy="4366260"/>
                    </a:xfrm>
                    <a:prstGeom prst="rect">
                      <a:avLst/>
                    </a:prstGeom>
                    <a:ln w="12700">
                      <a:solidFill>
                        <a:srgbClr val="000000"/>
                      </a:solidFill>
                      <a:prstDash val="solid"/>
                    </a:ln>
                  </pic:spPr>
                </pic:pic>
              </a:graphicData>
            </a:graphic>
          </wp:anchor>
        </w:drawing>
      </w:r>
    </w:p>
    <w:tbl>
      <w:tblPr>
        <w:tblStyle w:val="36"/>
        <w:tblW w:w="9109" w:type="dxa"/>
        <w:tblInd w:w="100" w:type="dxa"/>
        <w:tblLayout w:type="fixed"/>
        <w:tblLook w:val="04A0"/>
      </w:tblPr>
      <w:tblGrid>
        <w:gridCol w:w="9109"/>
      </w:tblGrid>
      <w:tr w:rsidR="00E944C2" w:rsidTr="00316155">
        <w:trPr>
          <w:cantSplit/>
          <w:trHeight w:val="572"/>
          <w:tblHeader/>
        </w:trPr>
        <w:tc>
          <w:tcPr>
            <w:tcW w:w="9109"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109"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16-</w:t>
            </w:r>
            <w:r>
              <w:rPr>
                <w:rFonts w:ascii="Times New Roman" w:eastAsia="Times New Roman" w:hAnsi="Times New Roman" w:cs="Times New Roman"/>
                <w:sz w:val="24"/>
                <w:szCs w:val="24"/>
              </w:rPr>
              <w:t xml:space="preserve"> REKONSTRUKCIJA OBJEKTA CENTRALNIH DJELATNOSTI U OKVIRU POSTOJEĆIH GABARITA, NA URBANISTIČKOJ PARCELI BROJ 6, U BLOKU O, DUP “NOVA VAROŠ”-OBJEKAT “PROGORIČANKA”</w:t>
            </w:r>
          </w:p>
        </w:tc>
      </w:tr>
      <w:tr w:rsidR="00E944C2" w:rsidTr="00316155">
        <w:trPr>
          <w:cantSplit/>
          <w:trHeight w:val="572"/>
          <w:tblHeader/>
        </w:trPr>
        <w:tc>
          <w:tcPr>
            <w:tcW w:w="9109"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E36C81">
            <w:pPr>
              <w:pStyle w:val="Normal1"/>
              <w:spacing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rekonstrukcije robne kuće “Podgoričanka” jeste da se oživi jedan od, u ranijem periodu, značajnijih trgovačkih centara kako bi to bilo mjesto u kojem će se razvijati: kultura, turizam i preduzetništvo. Rekonstrukcijom ovog značajnog objekta uticaće se na dinamičnost centaralnog gradskog jezgra čime će se osloboditi glavni potencijal ovog prostora.</w:t>
            </w:r>
          </w:p>
          <w:p w:rsidR="00E944C2" w:rsidRDefault="00E944C2" w:rsidP="00E36C81">
            <w:pPr>
              <w:pStyle w:val="Normal1"/>
              <w:spacing w:after="0" w:line="276" w:lineRule="auto"/>
              <w:jc w:val="both"/>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9109"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Robna kuća Podgoričanka se nalazi u samom centru grada, na raskrsnici Ulice slobode i Ulice Novaka Miloševa, u zahvatu Urbanističkog projekta “Nova Varoš, Blok O”, na katastarskoj parceli broj 3965, KO Podgorica II. Postojeći objekat ima površinu 3.970,88 BRGP, spratnosti Po+P+3 i zemljište uz objekat površine 117m2.</w:t>
            </w:r>
          </w:p>
          <w:p w:rsidR="00E944C2" w:rsidRDefault="00E944C2" w:rsidP="00E36C81">
            <w:pPr>
              <w:pStyle w:val="Normal1"/>
              <w:spacing w:after="0" w:line="276" w:lineRule="auto"/>
              <w:jc w:val="both"/>
              <w:rPr>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Ministarstvo prostornog planiranja, urbanizma i državne imovine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 n/a” -</w:t>
            </w:r>
            <w:r>
              <w:rPr>
                <w:rFonts w:ascii="Times New Roman" w:eastAsia="Times New Roman" w:hAnsi="Times New Roman" w:cs="Times New Roman"/>
                <w:sz w:val="24"/>
                <w:szCs w:val="24"/>
              </w:rPr>
              <w:t>nema neriješenih - imovinsko pravnih odnosa</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Objavljen Javni poziv za odabir Projektanta za izradu Glavnog projekta i projekta enterijera. Procijenjena vrijednost nabavke je 250.000,00.</w:t>
            </w: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595D39" w:rsidRDefault="00595D39" w:rsidP="00E36C81">
            <w:pPr>
              <w:pStyle w:val="Normal1"/>
              <w:spacing w:after="0" w:line="240" w:lineRule="auto"/>
              <w:jc w:val="both"/>
              <w:rPr>
                <w:rFonts w:ascii="Times New Roman" w:eastAsia="Times New Roman" w:hAnsi="Times New Roman" w:cs="Times New Roman"/>
                <w:sz w:val="24"/>
                <w:szCs w:val="24"/>
              </w:rPr>
            </w:pP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r>
    </w:tbl>
    <w:p w:rsidR="0064397C" w:rsidRDefault="0064397C"/>
    <w:tbl>
      <w:tblPr>
        <w:tblStyle w:val="36"/>
        <w:tblW w:w="9109" w:type="dxa"/>
        <w:tblInd w:w="100" w:type="dxa"/>
        <w:tblLayout w:type="fixed"/>
        <w:tblLook w:val="04A0"/>
      </w:tblPr>
      <w:tblGrid>
        <w:gridCol w:w="3581"/>
        <w:gridCol w:w="2551"/>
        <w:gridCol w:w="1418"/>
        <w:gridCol w:w="1417"/>
        <w:gridCol w:w="142"/>
      </w:tblGrid>
      <w:tr w:rsidR="00E944C2" w:rsidTr="00316155">
        <w:trPr>
          <w:cantSplit/>
          <w:trHeight w:val="572"/>
          <w:tblHeader/>
        </w:trPr>
        <w:tc>
          <w:tcPr>
            <w:tcW w:w="9109"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581"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10.000.000,00€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tc>
        <w:tc>
          <w:tcPr>
            <w:tcW w:w="255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18"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417"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581"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17"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581"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551"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418"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417"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58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i revizija Glavnog projekta</w:t>
            </w:r>
          </w:p>
          <w:p w:rsidR="00E944C2" w:rsidRDefault="00E944C2" w:rsidP="00316155">
            <w:pPr>
              <w:pStyle w:val="Normal1"/>
              <w:jc w:val="both"/>
              <w:rPr>
                <w:rFonts w:ascii="Times New Roman" w:eastAsia="Times New Roman" w:hAnsi="Times New Roman" w:cs="Times New Roman"/>
                <w:sz w:val="24"/>
                <w:szCs w:val="24"/>
              </w:rPr>
            </w:pP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58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odabir Izvođača radova i Stručnog nadzora </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58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58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4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17"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9109"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E944C2" w:rsidRDefault="00F7666C" w:rsidP="00316155">
      <w:pPr>
        <w:pStyle w:val="Normal1"/>
        <w:jc w:val="both"/>
      </w:pPr>
      <w:r>
        <w:rPr>
          <w:rFonts w:ascii="Times New Roman" w:eastAsia="Times New Roman" w:hAnsi="Times New Roman" w:cs="Times New Roman"/>
          <w:noProof/>
          <w:sz w:val="24"/>
          <w:szCs w:val="24"/>
          <w:lang w:val="en-US" w:eastAsia="en-US"/>
        </w:rPr>
        <w:drawing>
          <wp:inline distT="0" distB="0" distL="0" distR="0">
            <wp:extent cx="6043909" cy="4146331"/>
            <wp:effectExtent l="19050" t="19050" r="14605" b="26035"/>
            <wp:docPr id="12" name="image18.jpg"/>
            <wp:cNvGraphicFramePr/>
            <a:graphic xmlns:a="http://schemas.openxmlformats.org/drawingml/2006/main">
              <a:graphicData uri="http://schemas.openxmlformats.org/drawingml/2006/picture">
                <pic:pic xmlns:pic="http://schemas.openxmlformats.org/drawingml/2006/picture">
                  <pic:nvPicPr>
                    <pic:cNvPr id="12" name="image18.jpg"/>
                    <pic:cNvPicPr preferRelativeResize="0"/>
                  </pic:nvPicPr>
                  <pic:blipFill>
                    <a:blip r:embed="rId28" cstate="print"/>
                    <a:srcRect/>
                    <a:stretch>
                      <a:fillRect/>
                    </a:stretch>
                  </pic:blipFill>
                  <pic:spPr>
                    <a:xfrm>
                      <a:off x="0" y="0"/>
                      <a:ext cx="6057520" cy="4155669"/>
                    </a:xfrm>
                    <a:prstGeom prst="rect">
                      <a:avLst/>
                    </a:prstGeom>
                    <a:ln w="9525">
                      <a:solidFill>
                        <a:srgbClr val="000000"/>
                      </a:solidFill>
                      <a:prstDash val="solid"/>
                    </a:ln>
                  </pic:spPr>
                </pic:pic>
              </a:graphicData>
            </a:graphic>
          </wp:inline>
        </w:drawing>
      </w:r>
    </w:p>
    <w:tbl>
      <w:tblPr>
        <w:tblStyle w:val="35"/>
        <w:tblW w:w="8967" w:type="dxa"/>
        <w:tblInd w:w="100" w:type="dxa"/>
        <w:tblLayout w:type="fixed"/>
        <w:tblLook w:val="04A0"/>
      </w:tblPr>
      <w:tblGrid>
        <w:gridCol w:w="8967"/>
      </w:tblGrid>
      <w:tr w:rsidR="00E944C2" w:rsidTr="00316155">
        <w:trPr>
          <w:cantSplit/>
          <w:trHeight w:val="572"/>
          <w:tblHeader/>
        </w:trPr>
        <w:tc>
          <w:tcPr>
            <w:tcW w:w="8967"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 xml:space="preserve">SPECIFIČNI CILJ I </w:t>
            </w:r>
          </w:p>
        </w:tc>
      </w:tr>
      <w:tr w:rsidR="00E944C2" w:rsidTr="00316155">
        <w:trPr>
          <w:cantSplit/>
          <w:trHeight w:val="858"/>
          <w:tblHeader/>
        </w:trPr>
        <w:tc>
          <w:tcPr>
            <w:tcW w:w="8967"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17-</w:t>
            </w:r>
            <w:r>
              <w:rPr>
                <w:rFonts w:ascii="Times New Roman" w:eastAsia="Times New Roman" w:hAnsi="Times New Roman" w:cs="Times New Roman"/>
                <w:sz w:val="24"/>
                <w:szCs w:val="24"/>
              </w:rPr>
              <w:t xml:space="preserve"> GRADSKI STAN</w:t>
            </w:r>
          </w:p>
        </w:tc>
      </w:tr>
      <w:tr w:rsidR="00E944C2" w:rsidTr="00316155">
        <w:trPr>
          <w:cantSplit/>
          <w:trHeight w:val="572"/>
          <w:tblHeader/>
        </w:trPr>
        <w:tc>
          <w:tcPr>
            <w:tcW w:w="8967"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Socijalna zaštita, ekonomska dobit, unaprijeđen životni standard, povoljni uslovi za rešavanje stambenih pitanja socijalno ugoržennih kategorija.</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E944C2" w:rsidP="00316155">
            <w:pPr>
              <w:pStyle w:val="Normal1"/>
              <w:widowControl w:val="0"/>
              <w:spacing w:after="0" w:line="225" w:lineRule="auto"/>
              <w:jc w:val="both"/>
              <w:rPr>
                <w:rFonts w:ascii="Times New Roman" w:eastAsia="Times New Roman" w:hAnsi="Times New Roman" w:cs="Times New Roman"/>
                <w:sz w:val="24"/>
                <w:szCs w:val="24"/>
              </w:rPr>
            </w:pPr>
          </w:p>
        </w:tc>
      </w:tr>
      <w:tr w:rsidR="00E944C2" w:rsidTr="00316155">
        <w:trPr>
          <w:cantSplit/>
          <w:trHeight w:val="630"/>
          <w:tblHeader/>
        </w:trPr>
        <w:tc>
          <w:tcPr>
            <w:tcW w:w="8967"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 xml:space="preserve">Izgradnja objekta u okviru površina za mješovitu namjenu-MN, na urbanističkoj parceli 40a, 41 i 42 u zahvatu DUP-a „Konik-Stari Aerodrom-faza III“. Lokacija budućih objekata je između Doma za stare i puta prema Tuzima </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Predviđeni parameti za navedenu lokaciju su sledeći:</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UP40a (kp7893/57 KO Podgorica III) površine 7.189m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planirana zauzetost 2.157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planirani BGP 9.705m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spratnosti P+4, broj stambenih jedinica 85 i broj poslovnih jedinica 36.</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UP41 (kp 7893/58 i 7894/2 i 7894/2  KO Podgorica III) površine 5.778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planirana zauzetost 1.773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planirani BGP 7.800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spratnosti P+4, broj stambenih jedinica 68 i broj poslovnih jedinica 29.</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UP42 (kp 7893/60 KO Podgorica III) površine 5.706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planirana zauzetost 1.712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planirani BGP 7.703 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 spratnosti P+4, broj stambenih jedinica 67 i broj poslovnih jedinica 29.</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Projekat "Gradski stan" predstavlja odgovor na alarmantno stanje u rješavanju stambenog pitanja za veliki broj građana Podgorice, s posebnim naglaskom na mlade bračne parove, ugrožene podstanare i osobe s invaliditetom. Dosadašnje mjere podrške nijesu bile adekvatne, te se ovim projektom nastoji sistemski pristupiti rješavanju problema. </w:t>
            </w:r>
          </w:p>
          <w:p w:rsidR="00E944C2" w:rsidRDefault="00F7666C" w:rsidP="00E36C81">
            <w:pPr>
              <w:pStyle w:val="Normal1"/>
              <w:spacing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Ono što izgradnjom ovih objekata čini dodatne pogodnosti za Glavni grad jeste izgradnja 94 poslovna prostora koja bi bila u vlasništvu grada, što daje mogućnost za dodatne prihode.</w:t>
            </w:r>
          </w:p>
          <w:p w:rsidR="00E944C2" w:rsidRDefault="00E944C2" w:rsidP="00E36C81">
            <w:pPr>
              <w:pStyle w:val="Normal1"/>
              <w:spacing w:after="0" w:line="276" w:lineRule="auto"/>
              <w:jc w:val="both"/>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Služba Glavnog gradskog arhitekte, Ministarstvo prostornog planiranja, urbanizma i državne imovine</w:t>
            </w: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odnosa:n/a” -</w:t>
            </w:r>
            <w:r>
              <w:rPr>
                <w:rFonts w:ascii="Times New Roman" w:eastAsia="Times New Roman" w:hAnsi="Times New Roman" w:cs="Times New Roman"/>
                <w:sz w:val="24"/>
                <w:szCs w:val="24"/>
              </w:rPr>
              <w:t>nema neriješenih - imovinsko pravnih odnosa</w:t>
            </w:r>
          </w:p>
          <w:p w:rsidR="00E944C2" w:rsidRDefault="00E944C2">
            <w:pPr>
              <w:pStyle w:val="Normal1"/>
              <w:spacing w:after="0" w:line="240" w:lineRule="auto"/>
              <w:jc w:val="both"/>
              <w:rPr>
                <w:rFonts w:ascii="Times New Roman" w:eastAsia="Times New Roman" w:hAnsi="Times New Roman" w:cs="Times New Roman"/>
                <w:b/>
                <w:sz w:val="24"/>
                <w:szCs w:val="24"/>
              </w:rPr>
            </w:pPr>
          </w:p>
          <w:p w:rsidR="00E944C2" w:rsidRDefault="00F7666C">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Dostavljeni UTU-i od strane Ministarstva prostornog planiranja, urbanizma i državne imovine i predate Službi Glavnog gradskog arhitekte radi objavljivanja Javnog konkursa</w:t>
            </w:r>
          </w:p>
          <w:p w:rsidR="00E944C2" w:rsidRDefault="00E944C2">
            <w:pPr>
              <w:pStyle w:val="Normal1"/>
              <w:spacing w:after="0" w:line="240" w:lineRule="auto"/>
              <w:jc w:val="both"/>
              <w:rPr>
                <w:rFonts w:ascii="Times New Roman" w:eastAsia="Times New Roman" w:hAnsi="Times New Roman" w:cs="Times New Roman"/>
                <w:sz w:val="24"/>
                <w:szCs w:val="24"/>
              </w:rPr>
            </w:pPr>
          </w:p>
        </w:tc>
      </w:tr>
    </w:tbl>
    <w:p w:rsidR="0064397C" w:rsidRDefault="0064397C"/>
    <w:tbl>
      <w:tblPr>
        <w:tblStyle w:val="35"/>
        <w:tblW w:w="8967" w:type="dxa"/>
        <w:tblInd w:w="100" w:type="dxa"/>
        <w:tblLayout w:type="fixed"/>
        <w:tblLook w:val="04A0"/>
      </w:tblPr>
      <w:tblGrid>
        <w:gridCol w:w="3014"/>
        <w:gridCol w:w="2551"/>
        <w:gridCol w:w="1276"/>
        <w:gridCol w:w="1843"/>
        <w:gridCol w:w="283"/>
      </w:tblGrid>
      <w:tr w:rsidR="00E944C2" w:rsidTr="00316155">
        <w:trPr>
          <w:cantSplit/>
          <w:trHeight w:val="572"/>
          <w:tblHeader/>
        </w:trPr>
        <w:tc>
          <w:tcPr>
            <w:tcW w:w="8967"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2"/>
          <w:tblHeader/>
        </w:trPr>
        <w:tc>
          <w:tcPr>
            <w:tcW w:w="3014"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30.000.000,00€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551"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276"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843"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88"/>
          <w:tblHeader/>
        </w:trPr>
        <w:tc>
          <w:tcPr>
            <w:tcW w:w="3014"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551"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843"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316155">
        <w:trPr>
          <w:cantSplit/>
          <w:trHeight w:val="858"/>
          <w:tblHeader/>
        </w:trPr>
        <w:tc>
          <w:tcPr>
            <w:tcW w:w="3014"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551"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276"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843"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Javnog konkursa za Idejno arhitektonsko rešenje</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Glavnog gradskog arhitekte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izradu i reviziju Glavnog projekta </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odabir Izvođača radova i Stručnog nadzora </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Ministarstvo prostornog planiranja, urbanizma i državne imovine </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301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83"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8967"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69504" behindDoc="0" locked="0" layoutInCell="1" allowOverlap="1">
            <wp:simplePos x="0" y="0"/>
            <wp:positionH relativeFrom="margin">
              <wp:posOffset>15240</wp:posOffset>
            </wp:positionH>
            <wp:positionV relativeFrom="margin">
              <wp:posOffset>1197610</wp:posOffset>
            </wp:positionV>
            <wp:extent cx="5927725" cy="5233670"/>
            <wp:effectExtent l="19050" t="19050" r="15875" b="24130"/>
            <wp:wrapSquare wrapText="bothSides"/>
            <wp:docPr id="23" name="image28.jpg"/>
            <wp:cNvGraphicFramePr/>
            <a:graphic xmlns:a="http://schemas.openxmlformats.org/drawingml/2006/main">
              <a:graphicData uri="http://schemas.openxmlformats.org/drawingml/2006/picture">
                <pic:pic xmlns:pic="http://schemas.openxmlformats.org/drawingml/2006/picture">
                  <pic:nvPicPr>
                    <pic:cNvPr id="23" name="image28.jpg"/>
                    <pic:cNvPicPr preferRelativeResize="0"/>
                  </pic:nvPicPr>
                  <pic:blipFill>
                    <a:blip r:embed="rId29" cstate="print"/>
                    <a:srcRect t="12525" r="17743" b="8471"/>
                    <a:stretch>
                      <a:fillRect/>
                    </a:stretch>
                  </pic:blipFill>
                  <pic:spPr>
                    <a:xfrm>
                      <a:off x="0" y="0"/>
                      <a:ext cx="5927725" cy="5233670"/>
                    </a:xfrm>
                    <a:prstGeom prst="rect">
                      <a:avLst/>
                    </a:prstGeom>
                    <a:ln w="9525">
                      <a:solidFill>
                        <a:srgbClr val="000000"/>
                      </a:solidFill>
                      <a:prstDash val="solid"/>
                    </a:ln>
                  </pic:spPr>
                </pic:pic>
              </a:graphicData>
            </a:graphic>
          </wp:anchor>
        </w:drawing>
      </w:r>
    </w:p>
    <w:tbl>
      <w:tblPr>
        <w:tblStyle w:val="34"/>
        <w:tblW w:w="9393" w:type="dxa"/>
        <w:tblInd w:w="100" w:type="dxa"/>
        <w:tblLayout w:type="fixed"/>
        <w:tblLook w:val="04A0"/>
      </w:tblPr>
      <w:tblGrid>
        <w:gridCol w:w="3864"/>
        <w:gridCol w:w="2694"/>
        <w:gridCol w:w="1134"/>
        <w:gridCol w:w="1559"/>
        <w:gridCol w:w="142"/>
      </w:tblGrid>
      <w:tr w:rsidR="00E944C2" w:rsidTr="00316155">
        <w:trPr>
          <w:gridAfter w:val="1"/>
          <w:wAfter w:w="142" w:type="dxa"/>
          <w:cantSplit/>
          <w:trHeight w:val="572"/>
          <w:tblHeader/>
        </w:trPr>
        <w:tc>
          <w:tcPr>
            <w:tcW w:w="9251"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630"/>
          <w:tblHeader/>
        </w:trPr>
        <w:tc>
          <w:tcPr>
            <w:tcW w:w="9393" w:type="dxa"/>
            <w:gridSpan w:val="5"/>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18 -</w:t>
            </w:r>
            <w:r>
              <w:rPr>
                <w:rFonts w:ascii="Times New Roman" w:eastAsia="Times New Roman" w:hAnsi="Times New Roman" w:cs="Times New Roman"/>
                <w:sz w:val="24"/>
                <w:szCs w:val="24"/>
              </w:rPr>
              <w:t xml:space="preserve"> “SAJAMSKO – KONGRESNI CENTAR”</w:t>
            </w:r>
          </w:p>
        </w:tc>
      </w:tr>
      <w:tr w:rsidR="00E944C2" w:rsidTr="00316155">
        <w:trPr>
          <w:cantSplit/>
          <w:trHeight w:val="572"/>
          <w:tblHeader/>
        </w:trPr>
        <w:tc>
          <w:tcPr>
            <w:tcW w:w="9393"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3864"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30.000.000,00€</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Kapitalni budžet</w:t>
            </w:r>
          </w:p>
        </w:tc>
        <w:tc>
          <w:tcPr>
            <w:tcW w:w="269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3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559"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1350"/>
          <w:tblHeader/>
        </w:trPr>
        <w:tc>
          <w:tcPr>
            <w:tcW w:w="3864"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69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559"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3864"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694"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134"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559"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86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odabir Projektanta i Revidenta (izrada i revizija tehničke dokumentacije) </w:t>
            </w:r>
          </w:p>
          <w:p w:rsidR="00E944C2" w:rsidRDefault="00E944C2" w:rsidP="00316155">
            <w:pPr>
              <w:pStyle w:val="Normal1"/>
              <w:jc w:val="both"/>
              <w:rPr>
                <w:rFonts w:ascii="Times New Roman" w:eastAsia="Times New Roman" w:hAnsi="Times New Roman" w:cs="Times New Roman"/>
                <w:sz w:val="24"/>
                <w:szCs w:val="24"/>
              </w:rPr>
            </w:pPr>
          </w:p>
        </w:tc>
        <w:tc>
          <w:tcPr>
            <w:tcW w:w="269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86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Javnog poziva za odabir Izvođača radova i Stručnog nadzora </w:t>
            </w:r>
          </w:p>
          <w:p w:rsidR="00E944C2" w:rsidRDefault="00E944C2" w:rsidP="00316155">
            <w:pPr>
              <w:pStyle w:val="Normal1"/>
              <w:jc w:val="both"/>
              <w:rPr>
                <w:rFonts w:ascii="Times New Roman" w:eastAsia="Times New Roman" w:hAnsi="Times New Roman" w:cs="Times New Roman"/>
                <w:sz w:val="24"/>
                <w:szCs w:val="24"/>
              </w:rPr>
            </w:pPr>
          </w:p>
        </w:tc>
        <w:tc>
          <w:tcPr>
            <w:tcW w:w="269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86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269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386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69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559"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bl>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6051266" cy="4099034"/>
            <wp:effectExtent l="19050" t="19050" r="26035" b="15875"/>
            <wp:docPr id="32" name="image23.jpg"/>
            <wp:cNvGraphicFramePr/>
            <a:graphic xmlns:a="http://schemas.openxmlformats.org/drawingml/2006/main">
              <a:graphicData uri="http://schemas.openxmlformats.org/drawingml/2006/picture">
                <pic:pic xmlns:pic="http://schemas.openxmlformats.org/drawingml/2006/picture">
                  <pic:nvPicPr>
                    <pic:cNvPr id="32" name="image23.jpg"/>
                    <pic:cNvPicPr preferRelativeResize="0"/>
                  </pic:nvPicPr>
                  <pic:blipFill>
                    <a:blip r:embed="rId30" cstate="print"/>
                    <a:srcRect/>
                    <a:stretch>
                      <a:fillRect/>
                    </a:stretch>
                  </pic:blipFill>
                  <pic:spPr>
                    <a:xfrm>
                      <a:off x="0" y="0"/>
                      <a:ext cx="6059155" cy="4104378"/>
                    </a:xfrm>
                    <a:prstGeom prst="rect">
                      <a:avLst/>
                    </a:prstGeom>
                    <a:ln w="9525">
                      <a:solidFill>
                        <a:srgbClr val="000000"/>
                      </a:solidFill>
                      <a:prstDash val="solid"/>
                    </a:ln>
                  </pic:spPr>
                </pic:pic>
              </a:graphicData>
            </a:graphic>
          </wp:inline>
        </w:drawing>
      </w:r>
    </w:p>
    <w:p w:rsidR="00E944C2" w:rsidRDefault="00E944C2" w:rsidP="00316155">
      <w:pPr>
        <w:pStyle w:val="Normal1"/>
        <w:jc w:val="both"/>
        <w:rPr>
          <w:rFonts w:ascii="Times New Roman" w:eastAsia="Times New Roman" w:hAnsi="Times New Roman" w:cs="Times New Roman"/>
          <w:sz w:val="24"/>
          <w:szCs w:val="24"/>
        </w:rPr>
      </w:pPr>
    </w:p>
    <w:tbl>
      <w:tblPr>
        <w:tblStyle w:val="33"/>
        <w:tblW w:w="9393" w:type="dxa"/>
        <w:tblInd w:w="100" w:type="dxa"/>
        <w:tblLayout w:type="fixed"/>
        <w:tblLook w:val="04A0"/>
      </w:tblPr>
      <w:tblGrid>
        <w:gridCol w:w="9393"/>
      </w:tblGrid>
      <w:tr w:rsidR="00E944C2" w:rsidTr="00316155">
        <w:trPr>
          <w:cantSplit/>
          <w:trHeight w:val="572"/>
          <w:tblHeader/>
        </w:trPr>
        <w:tc>
          <w:tcPr>
            <w:tcW w:w="9393" w:type="dxa"/>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b/>
                <w:color w:val="FFFFFF"/>
                <w:sz w:val="24"/>
                <w:szCs w:val="24"/>
              </w:rPr>
            </w:pPr>
          </w:p>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858"/>
          <w:tblHeader/>
        </w:trPr>
        <w:tc>
          <w:tcPr>
            <w:tcW w:w="9393" w:type="dxa"/>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19-</w:t>
            </w:r>
            <w:r>
              <w:rPr>
                <w:rFonts w:ascii="Times New Roman" w:eastAsia="Times New Roman" w:hAnsi="Times New Roman" w:cs="Times New Roman"/>
                <w:sz w:val="24"/>
                <w:szCs w:val="24"/>
              </w:rPr>
              <w:t xml:space="preserve"> UREĐENJE PARK ŠUME LJEŠKOPOLJSKA GORICA</w:t>
            </w:r>
          </w:p>
        </w:tc>
      </w:tr>
      <w:tr w:rsidR="00E944C2" w:rsidTr="00316155">
        <w:trPr>
          <w:cantSplit/>
          <w:trHeight w:val="572"/>
          <w:tblHeader/>
        </w:trPr>
        <w:tc>
          <w:tcPr>
            <w:tcW w:w="9393" w:type="dxa"/>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b/>
                <w:color w:val="FFFFFF"/>
                <w:sz w:val="24"/>
                <w:szCs w:val="24"/>
              </w:rPr>
            </w:pPr>
          </w:p>
          <w:p w:rsidR="00E944C2" w:rsidRDefault="00F7666C" w:rsidP="00316155">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Cilj ovog projektnog zadatka je da definiše prostorne, funkcionalne i estetske aspekte uređenja Ljeskopoljske Gorice, uz poštovanje prirodnih karakteristika prostora, postojeće flore i faune, kao i potreba lokalne zajednice. </w:t>
            </w:r>
          </w:p>
          <w:p w:rsidR="00E944C2" w:rsidRDefault="00F7666C" w:rsidP="00316155">
            <w:pPr>
              <w:pStyle w:val="Normal1"/>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se ogledaju u valorizaciji prostora, poboljšanje kvaliteta života građana.</w:t>
            </w:r>
          </w:p>
          <w:p w:rsidR="00E944C2" w:rsidRDefault="00E944C2" w:rsidP="00316155">
            <w:pPr>
              <w:pStyle w:val="Normal1"/>
              <w:jc w:val="both"/>
              <w:rPr>
                <w:sz w:val="24"/>
                <w:szCs w:val="24"/>
              </w:rPr>
            </w:pPr>
          </w:p>
        </w:tc>
      </w:tr>
      <w:tr w:rsidR="00E944C2" w:rsidTr="00316155">
        <w:trPr>
          <w:cantSplit/>
          <w:trHeight w:val="630"/>
          <w:tblHeader/>
        </w:trPr>
        <w:tc>
          <w:tcPr>
            <w:tcW w:w="9393" w:type="dxa"/>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Park-šuma Lješkopoljska Gorica (poznata i kao Mala Gorica) nalazi se u jugozapadnom dijelu Podgorice, između naselja Donja Gorica i Gornja Gorica. Ova prirodna cjelina pozicionirana je neposredno uz magistralni put M2.3, koji povezuje centralne i južne djelove grada, što joj obezbjeđuje dobru saobraćajnu povezanost i laku pristupačnost kako pješacima, tako i biciklistima i motornim vozilima.</w:t>
            </w:r>
          </w:p>
          <w:p w:rsidR="00E944C2" w:rsidRDefault="00F7666C" w:rsidP="00E36C81">
            <w:pPr>
              <w:pStyle w:val="Normal1"/>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Lokacija se nalazi na katastarskim parcelama broj 2190, 2191/1, 2191/2 i 3394/8 KO Donja Gorica u zahvatu Prostornog urbanističkog plana Podgorice. Površina zahvata je oko 350.000m</w:t>
            </w:r>
            <w:r>
              <w:rPr>
                <w:rFonts w:ascii="Times New Roman" w:eastAsia="Times New Roman" w:hAnsi="Times New Roman" w:cs="Times New Roman"/>
                <w:sz w:val="24"/>
                <w:szCs w:val="24"/>
                <w:vertAlign w:val="superscript"/>
              </w:rPr>
              <w:t>2</w:t>
            </w:r>
            <w:r>
              <w:rPr>
                <w:rFonts w:ascii="Times New Roman" w:eastAsia="Times New Roman" w:hAnsi="Times New Roman" w:cs="Times New Roman"/>
                <w:sz w:val="24"/>
                <w:szCs w:val="24"/>
              </w:rPr>
              <w:t>.</w:t>
            </w: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 za planiranje prostora i održivi razvoj</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n/a” -nema neriješenih imovinsko - pravnih odnosa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xml:space="preserve">-Sproveden Javni konkurs za idejno urbanističko-arhitektonsko rešenje. Pripremljena tenderska dokumentacija radi objavljivanja Javnog poziva za izradu Glavnog projekta. </w:t>
            </w:r>
          </w:p>
          <w:p w:rsidR="00E944C2" w:rsidRDefault="00E944C2" w:rsidP="00316155">
            <w:pPr>
              <w:pStyle w:val="Normal1"/>
              <w:jc w:val="both"/>
              <w:rPr>
                <w:rFonts w:ascii="Times New Roman" w:eastAsia="Times New Roman" w:hAnsi="Times New Roman" w:cs="Times New Roman"/>
                <w:sz w:val="24"/>
                <w:szCs w:val="24"/>
              </w:rPr>
            </w:pPr>
          </w:p>
        </w:tc>
      </w:tr>
    </w:tbl>
    <w:p w:rsidR="0064397C" w:rsidRDefault="0064397C"/>
    <w:tbl>
      <w:tblPr>
        <w:tblStyle w:val="33"/>
        <w:tblW w:w="9393" w:type="dxa"/>
        <w:tblInd w:w="100" w:type="dxa"/>
        <w:tblLayout w:type="fixed"/>
        <w:tblLook w:val="04A0"/>
      </w:tblPr>
      <w:tblGrid>
        <w:gridCol w:w="3723"/>
        <w:gridCol w:w="3118"/>
        <w:gridCol w:w="1134"/>
        <w:gridCol w:w="1276"/>
        <w:gridCol w:w="142"/>
      </w:tblGrid>
      <w:tr w:rsidR="00E944C2" w:rsidTr="00316155">
        <w:trPr>
          <w:cantSplit/>
          <w:trHeight w:val="572"/>
          <w:tblHeader/>
        </w:trPr>
        <w:tc>
          <w:tcPr>
            <w:tcW w:w="9393" w:type="dxa"/>
            <w:gridSpan w:val="5"/>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2F3E03" w:rsidTr="002F3E03">
        <w:trPr>
          <w:cantSplit/>
          <w:trHeight w:val="432"/>
          <w:tblHeader/>
        </w:trPr>
        <w:tc>
          <w:tcPr>
            <w:tcW w:w="3723"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cca 8.500.000,00 €</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3118"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34"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276"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1350"/>
          <w:tblHeader/>
        </w:trPr>
        <w:tc>
          <w:tcPr>
            <w:tcW w:w="3723"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3118"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76"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858"/>
          <w:tblHeader/>
        </w:trPr>
        <w:tc>
          <w:tcPr>
            <w:tcW w:w="3723"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3118"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134"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1276"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572"/>
          <w:tblHeader/>
        </w:trPr>
        <w:tc>
          <w:tcPr>
            <w:tcW w:w="372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Javni poziv za odabir Projektanta i Revidenta (izrada i revizija tehničke dokumentacije)</w:t>
            </w:r>
          </w:p>
        </w:tc>
        <w:tc>
          <w:tcPr>
            <w:tcW w:w="31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 doo</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572"/>
          <w:tblHeader/>
        </w:trPr>
        <w:tc>
          <w:tcPr>
            <w:tcW w:w="372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Javni poziv za odabir Izvođača i Stručnog nadzora</w:t>
            </w:r>
          </w:p>
        </w:tc>
        <w:tc>
          <w:tcPr>
            <w:tcW w:w="31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 doo</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572"/>
          <w:tblHeader/>
        </w:trPr>
        <w:tc>
          <w:tcPr>
            <w:tcW w:w="372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Građevinska dozvola</w:t>
            </w:r>
          </w:p>
        </w:tc>
        <w:tc>
          <w:tcPr>
            <w:tcW w:w="31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2F3E03" w:rsidTr="002F3E03">
        <w:trPr>
          <w:cantSplit/>
          <w:trHeight w:val="572"/>
          <w:tblHeader/>
        </w:trPr>
        <w:tc>
          <w:tcPr>
            <w:tcW w:w="372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3118"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tc>
        <w:tc>
          <w:tcPr>
            <w:tcW w:w="1134"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142"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cantSplit/>
          <w:trHeight w:val="572"/>
          <w:tblHeader/>
        </w:trPr>
        <w:tc>
          <w:tcPr>
            <w:tcW w:w="9393" w:type="dxa"/>
            <w:gridSpan w:val="5"/>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inline distT="0" distB="0" distL="0" distR="0">
            <wp:extent cx="5908061" cy="4792717"/>
            <wp:effectExtent l="19050" t="19050" r="16510" b="27305"/>
            <wp:docPr id="16" name="image21.jpg"/>
            <wp:cNvGraphicFramePr/>
            <a:graphic xmlns:a="http://schemas.openxmlformats.org/drawingml/2006/main">
              <a:graphicData uri="http://schemas.openxmlformats.org/drawingml/2006/picture">
                <pic:pic xmlns:pic="http://schemas.openxmlformats.org/drawingml/2006/picture">
                  <pic:nvPicPr>
                    <pic:cNvPr id="16" name="image21.jpg"/>
                    <pic:cNvPicPr preferRelativeResize="0"/>
                  </pic:nvPicPr>
                  <pic:blipFill>
                    <a:blip r:embed="rId31" cstate="print"/>
                    <a:srcRect r="5035"/>
                    <a:stretch>
                      <a:fillRect/>
                    </a:stretch>
                  </pic:blipFill>
                  <pic:spPr>
                    <a:xfrm>
                      <a:off x="0" y="0"/>
                      <a:ext cx="5914299" cy="4797777"/>
                    </a:xfrm>
                    <a:prstGeom prst="rect">
                      <a:avLst/>
                    </a:prstGeom>
                    <a:ln w="9525">
                      <a:solidFill>
                        <a:srgbClr val="000000"/>
                      </a:solidFill>
                      <a:prstDash val="solid"/>
                    </a:ln>
                  </pic:spPr>
                </pic:pic>
              </a:graphicData>
            </a:graphic>
          </wp:inline>
        </w:drawing>
      </w:r>
    </w:p>
    <w:tbl>
      <w:tblPr>
        <w:tblStyle w:val="32"/>
        <w:tblW w:w="9159" w:type="dxa"/>
        <w:tblInd w:w="100" w:type="dxa"/>
        <w:tblLayout w:type="fixed"/>
        <w:tblLook w:val="04A0"/>
      </w:tblPr>
      <w:tblGrid>
        <w:gridCol w:w="2193"/>
        <w:gridCol w:w="2522"/>
        <w:gridCol w:w="1843"/>
        <w:gridCol w:w="2551"/>
        <w:gridCol w:w="50"/>
      </w:tblGrid>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858"/>
          <w:tblHeader/>
        </w:trPr>
        <w:tc>
          <w:tcPr>
            <w:tcW w:w="9109"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20-</w:t>
            </w:r>
            <w:r>
              <w:rPr>
                <w:rFonts w:ascii="Times New Roman" w:eastAsia="Times New Roman" w:hAnsi="Times New Roman" w:cs="Times New Roman"/>
                <w:sz w:val="24"/>
                <w:szCs w:val="24"/>
              </w:rPr>
              <w:t xml:space="preserve"> IZGRADNJA VIŠENAMJENSKOG OBJEKTA U ZAGORIČU</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color w:val="FFFFFF"/>
                <w:sz w:val="24"/>
                <w:szCs w:val="24"/>
              </w:rPr>
            </w:pPr>
          </w:p>
          <w:p w:rsidR="00E944C2" w:rsidRDefault="00F7666C" w:rsidP="00316155">
            <w:pPr>
              <w:pStyle w:val="Normal1"/>
              <w:jc w:val="both"/>
              <w:rPr>
                <w:rFonts w:ascii="Times New Roman" w:eastAsia="Times New Roman" w:hAnsi="Times New Roman" w:cs="Times New Roman"/>
                <w:color w:val="FFFFFF"/>
              </w:rPr>
            </w:pPr>
            <w:r>
              <w:rPr>
                <w:rFonts w:ascii="Times New Roman" w:eastAsia="Times New Roman" w:hAnsi="Times New Roman" w:cs="Times New Roman"/>
                <w:color w:val="FFFFFF"/>
                <w:sz w:val="24"/>
                <w:szCs w:val="24"/>
              </w:rPr>
              <w:t>Unapređenje kvaliteta zdrastvenih i javnih usluga za stanovništvo, uticaj na lokalni razvoj. Izlazni inidikatori se ogledaju u izgradnji opremljenog doma zdravlja, osbjekat u potpunosti prilagođen licima smanjene pokretljivosti, lokacija prilagođena djeci u vidu izgradnje platoa sa igralištem.</w:t>
            </w:r>
          </w:p>
          <w:p w:rsidR="00E944C2" w:rsidRDefault="00E944C2" w:rsidP="00316155">
            <w:pPr>
              <w:pStyle w:val="Normal1"/>
              <w:widowControl w:val="0"/>
              <w:spacing w:after="0" w:line="226" w:lineRule="auto"/>
              <w:jc w:val="both"/>
              <w:rPr>
                <w:rFonts w:ascii="Times New Roman" w:eastAsia="Times New Roman" w:hAnsi="Times New Roman" w:cs="Times New Roman"/>
                <w:sz w:val="24"/>
                <w:szCs w:val="24"/>
              </w:rPr>
            </w:pPr>
          </w:p>
        </w:tc>
      </w:tr>
      <w:tr w:rsidR="00E944C2" w:rsidTr="00316155">
        <w:trPr>
          <w:gridAfter w:val="1"/>
          <w:wAfter w:w="50" w:type="dxa"/>
          <w:cantSplit/>
          <w:trHeight w:val="630"/>
          <w:tblHeader/>
        </w:trPr>
        <w:tc>
          <w:tcPr>
            <w:tcW w:w="9109"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obzirom na vrstu zastupljenih funkcija: </w:t>
            </w:r>
            <w:r>
              <w:rPr>
                <w:rFonts w:ascii="Times New Roman" w:eastAsia="Times New Roman" w:hAnsi="Times New Roman" w:cs="Times New Roman"/>
                <w:b/>
                <w:sz w:val="24"/>
                <w:szCs w:val="24"/>
              </w:rPr>
              <w:t>funkciju zdravstva </w:t>
            </w:r>
            <w:r>
              <w:rPr>
                <w:rFonts w:ascii="Times New Roman" w:eastAsia="Times New Roman" w:hAnsi="Times New Roman" w:cs="Times New Roman"/>
                <w:sz w:val="24"/>
                <w:szCs w:val="24"/>
              </w:rPr>
              <w:t>na jednoj strani  i </w:t>
            </w:r>
            <w:r>
              <w:rPr>
                <w:rFonts w:ascii="Times New Roman" w:eastAsia="Times New Roman" w:hAnsi="Times New Roman" w:cs="Times New Roman"/>
                <w:b/>
                <w:sz w:val="24"/>
                <w:szCs w:val="24"/>
              </w:rPr>
              <w:t>servisnih i uslužnih djelatnosti</w:t>
            </w:r>
            <w:r>
              <w:rPr>
                <w:rFonts w:ascii="Times New Roman" w:eastAsia="Times New Roman" w:hAnsi="Times New Roman" w:cs="Times New Roman"/>
                <w:sz w:val="24"/>
                <w:szCs w:val="24"/>
              </w:rPr>
              <w:t> na drugoj strani, planirani sadržaji su formiraniu dvije cjeline na parceli, sa izdvojenim ulazima za različite namjene.</w:t>
            </w:r>
          </w:p>
          <w:p w:rsidR="00E944C2" w:rsidRDefault="00F7666C" w:rsidP="00316155">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Cjelina 1 - Doma zdravlja </w:t>
            </w:r>
            <w:r>
              <w:rPr>
                <w:rFonts w:ascii="Times New Roman" w:eastAsia="Times New Roman" w:hAnsi="Times New Roman" w:cs="Times New Roman"/>
                <w:sz w:val="24"/>
                <w:szCs w:val="24"/>
              </w:rPr>
              <w:t>je projektovan u skladu sa jasno definisanim zahtjevima korisnika prostora a takođe su u najvećoj mjeri ispoštovani zahtjevi Mjesne zajednice Zagorič. Dom zdravlja ima horizontalne gabarite14,05x39,25,spratnost P+2i P+1, neto površine 1358,25m2, odnosno 1571.18m2 bruto.</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Sadržaji koji su planirani u objektu Doma Zdravlja su: Odjeljenje opšte medicine i Laboratorija za djecu i odrasle na prizemlju; Ginekologija i Rentgenna prvom spratu, i Zdravstvena zaštita djece - bolesne i zdrave, na drugom spratu; prostorije Patronažne službe su smještene u prizemlju drugog objekta (Visenamjenskom objektu 2) orjentisane ka parkingu. Objekat sadrži lift dimenzije kabine1,10x2,10,prilagodjen osobama sa invaliditetom i osobama smanjene pokretljivosti.</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Cjelina 2 - Visenamjenski objekat</w:t>
            </w:r>
            <w:r>
              <w:rPr>
                <w:rFonts w:ascii="Times New Roman" w:eastAsia="Times New Roman" w:hAnsi="Times New Roman" w:cs="Times New Roman"/>
                <w:sz w:val="24"/>
                <w:szCs w:val="24"/>
              </w:rPr>
              <w:t> je horizontalnih dimenzija 37,83x15,75m, spratnosti P+1 navećem dijelu objekta,(prizemen spratnosti u dijelu iznad patronazne sluzbe i igraonice), neto površine 1000,11m2, odnosno 1104,96m2 bruto. Objekat je planiran za mogućnost dogradnje do maksimalne površine dozvoljene koeficijentom izgrađenosti.</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Višenamjenski objekat 2, zahtjevan sa mješovitim funkcijama je projektovan sa sadržajima koji su srodni: funkcije trgovine (trznica, poljoprivredna apoteka, apoteka), usluge (banka, naplatni punkt EPCG, komunalnih preduzeća, pošta), društvene funkcije (klub penzionera i klub mladih) kao i administrativne prostorije mjesne zajednice; sportski sadržaji (fitness klub, sala za karate, džudo, sala za ples) i kafe u blizini igrališta.  Ulazi u pijacu su orijentisani bočno,prema istoku i pristupnoj ulici,obzirom da je kolska komunikacija bitna prilikom snadbijevanja i nabavke.  Istovremeno se najveća cirkulacija ljudi usmjerava periferno.Poljoprivredna apoteka je takođe orijentisana prema parking prostoru,smatrajući da je blizina parking prednost prilikom snadbijevanja i kupovine.</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 spratu objekta kome se može pristupiti stepeništem i liftom,predvidjeni su kancelarijski prostori mjesne zajednice i tržnice, teretana sa pratećim prostorima, sala za sastanke koja može poslužiti i kao plesna sala, sala zadžudo, ili fitness, i klub penzionera, koji eventualno mogu u večernjim satima koristiti mladi. </w:t>
            </w:r>
          </w:p>
          <w:p w:rsidR="00E944C2" w:rsidRDefault="00F7666C" w:rsidP="00316155">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Ukupna površina objekta Doma zdravlja i višefunkcionalnog objekta iznosi </w:t>
            </w:r>
            <w:r>
              <w:rPr>
                <w:rFonts w:ascii="Times New Roman" w:eastAsia="Times New Roman" w:hAnsi="Times New Roman" w:cs="Times New Roman"/>
                <w:b/>
                <w:sz w:val="24"/>
                <w:szCs w:val="24"/>
              </w:rPr>
              <w:t>2.360,36m2 neto</w:t>
            </w:r>
            <w:r>
              <w:rPr>
                <w:rFonts w:ascii="Times New Roman" w:eastAsia="Times New Roman" w:hAnsi="Times New Roman" w:cs="Times New Roman"/>
                <w:sz w:val="24"/>
                <w:szCs w:val="24"/>
              </w:rPr>
              <w:t>, odnosno </w:t>
            </w:r>
            <w:r>
              <w:rPr>
                <w:rFonts w:ascii="Times New Roman" w:eastAsia="Times New Roman" w:hAnsi="Times New Roman" w:cs="Times New Roman"/>
                <w:b/>
                <w:sz w:val="24"/>
                <w:szCs w:val="24"/>
              </w:rPr>
              <w:t>2.676,14m2 bruto</w:t>
            </w:r>
            <w:r>
              <w:rPr>
                <w:rFonts w:ascii="Times New Roman" w:eastAsia="Times New Roman" w:hAnsi="Times New Roman" w:cs="Times New Roman"/>
                <w:sz w:val="24"/>
                <w:szCs w:val="24"/>
              </w:rPr>
              <w:t> površine.Površina urbanističke parcele je 3.459m2, indeks zauzetosti 0,29, indeks izgrađenosti 0,67 </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Ispred oba objekta je predviđen plato sa parternim uređenjem-klupama smještenim uz visoko zelenilo, planirana je česma, zatim dječje igralište u blizini terase kafea, obzirom na veliku osunčanost mikrolokacije.  Na taj način trg postaje oaza odmora, dječje razonode. </w:t>
            </w:r>
          </w:p>
          <w:p w:rsidR="00E944C2" w:rsidRDefault="00F7666C" w:rsidP="00E36C81">
            <w:pPr>
              <w:pStyle w:val="Normal1"/>
              <w:shd w:val="clear" w:color="auto" w:fill="FFFFFF"/>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 sjeverozapadne strane je planiran glavni parking sa 22 mjesta, sa postojeće prilazne ulice koju je neophodno proširiti jer je sada širine 3m. Sa zapadne strane lokacije, uz ulicu Ljubotinjskih junaka je predvidjeno 7 parking mjesta,a sa istočne strane lokacije u neposrednoj blizini Objekta 2, još 8 parking mjesta. Opština je opredijelila i susjednu parcelu za parkiranje čime je obezbijeđeno novih 40 parking mjesta.</w:t>
            </w:r>
          </w:p>
          <w:p w:rsidR="00E944C2" w:rsidRDefault="00E944C2" w:rsidP="00E36C81">
            <w:pPr>
              <w:pStyle w:val="Normal1"/>
              <w:shd w:val="clear" w:color="auto" w:fill="FFFFFF"/>
              <w:spacing w:after="0" w:line="240" w:lineRule="auto"/>
              <w:ind w:firstLine="720"/>
              <w:jc w:val="both"/>
              <w:rPr>
                <w:rFonts w:ascii="Cambria" w:eastAsia="Cambria" w:hAnsi="Cambria" w:cs="Cambria"/>
                <w:sz w:val="24"/>
                <w:szCs w:val="24"/>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:n/a” -nema neriješenih imovinsko - pravnih odnosa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-Izvođenje radova u toku</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7F5DDB">
        <w:trPr>
          <w:cantSplit/>
          <w:trHeight w:val="432"/>
          <w:tblHeader/>
        </w:trPr>
        <w:tc>
          <w:tcPr>
            <w:tcW w:w="2193"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3.417.855,70€ -Ugovorena vrijednost radova</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2522"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843"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2551"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831"/>
          <w:tblHeader/>
        </w:trPr>
        <w:tc>
          <w:tcPr>
            <w:tcW w:w="2193"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2522"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2551"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7F5DDB">
        <w:trPr>
          <w:cantSplit/>
          <w:trHeight w:val="858"/>
          <w:tblHeader/>
        </w:trPr>
        <w:tc>
          <w:tcPr>
            <w:tcW w:w="2193"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2522"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843"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2551"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7F5DDB">
        <w:trPr>
          <w:cantSplit/>
          <w:trHeight w:val="572"/>
          <w:tblHeader/>
        </w:trPr>
        <w:tc>
          <w:tcPr>
            <w:tcW w:w="219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252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 doo</w:t>
            </w:r>
          </w:p>
        </w:tc>
        <w:tc>
          <w:tcPr>
            <w:tcW w:w="1843"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2551"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109" w:type="dxa"/>
            <w:gridSpan w:val="4"/>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jc w:val="both"/>
              <w:rPr>
                <w:rFonts w:ascii="Times New Roman" w:eastAsia="Times New Roman" w:hAnsi="Times New Roman" w:cs="Times New Roman"/>
                <w:b/>
                <w:sz w:val="24"/>
                <w:szCs w:val="24"/>
              </w:rPr>
            </w:pPr>
          </w:p>
        </w:tc>
      </w:tr>
    </w:tbl>
    <w:p w:rsidR="002F3E03" w:rsidRDefault="002F3E03"/>
    <w:p w:rsidR="002F3E03" w:rsidRDefault="002F3E03"/>
    <w:p w:rsidR="002F3E03" w:rsidRDefault="002F3E03"/>
    <w:p w:rsidR="002F3E03" w:rsidRDefault="002F3E03"/>
    <w:p w:rsidR="002F3E03" w:rsidRDefault="002F3E03"/>
    <w:p w:rsidR="002F3E03" w:rsidRDefault="002F3E03"/>
    <w:p w:rsidR="002F3E03" w:rsidRDefault="002F3E03"/>
    <w:p w:rsidR="002F3E03" w:rsidRDefault="002F3E03"/>
    <w:p w:rsidR="002F3E03" w:rsidRDefault="002F3E03"/>
    <w:p w:rsidR="002F3E03" w:rsidRDefault="002F3E03"/>
    <w:p w:rsidR="002F3E03" w:rsidRDefault="002F3E03" w:rsidP="00316155">
      <w:pPr>
        <w:pStyle w:val="Normal1"/>
        <w:jc w:val="both"/>
        <w:rPr>
          <w:rFonts w:ascii="Times New Roman" w:eastAsia="Times New Roman" w:hAnsi="Times New Roman" w:cs="Times New Roman"/>
          <w:sz w:val="24"/>
          <w:szCs w:val="24"/>
        </w:rPr>
      </w:pPr>
    </w:p>
    <w:p w:rsidR="007F5DDB" w:rsidRDefault="007F5DDB" w:rsidP="00316155">
      <w:pPr>
        <w:pStyle w:val="Normal1"/>
        <w:jc w:val="both"/>
        <w:rPr>
          <w:rFonts w:ascii="Times New Roman" w:eastAsia="Times New Roman" w:hAnsi="Times New Roman" w:cs="Times New Roman"/>
          <w:sz w:val="24"/>
          <w:szCs w:val="24"/>
        </w:rPr>
      </w:pPr>
    </w:p>
    <w:p w:rsidR="007F5DDB" w:rsidRDefault="007F5DDB" w:rsidP="00316155">
      <w:pPr>
        <w:pStyle w:val="Normal1"/>
        <w:jc w:val="both"/>
        <w:rPr>
          <w:rFonts w:ascii="Times New Roman" w:eastAsia="Times New Roman" w:hAnsi="Times New Roman" w:cs="Times New Roman"/>
          <w:sz w:val="24"/>
          <w:szCs w:val="24"/>
        </w:rPr>
      </w:pPr>
    </w:p>
    <w:p w:rsidR="002F3E03" w:rsidRDefault="002F3E03" w:rsidP="00316155">
      <w:pPr>
        <w:pStyle w:val="Normal1"/>
        <w:jc w:val="both"/>
        <w:rPr>
          <w:rFonts w:ascii="Times New Roman" w:eastAsia="Times New Roman" w:hAnsi="Times New Roman" w:cs="Times New Roman"/>
          <w:sz w:val="24"/>
          <w:szCs w:val="24"/>
        </w:rPr>
      </w:pPr>
    </w:p>
    <w:p w:rsidR="00E944C2" w:rsidRDefault="00595D39"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lang w:val="en-US" w:eastAsia="en-US"/>
        </w:rPr>
        <w:drawing>
          <wp:anchor distT="0" distB="0" distL="114300" distR="114300" simplePos="0" relativeHeight="251670528" behindDoc="0" locked="0" layoutInCell="1" allowOverlap="1">
            <wp:simplePos x="0" y="0"/>
            <wp:positionH relativeFrom="column">
              <wp:posOffset>499110</wp:posOffset>
            </wp:positionH>
            <wp:positionV relativeFrom="paragraph">
              <wp:posOffset>142875</wp:posOffset>
            </wp:positionV>
            <wp:extent cx="5471160" cy="3872230"/>
            <wp:effectExtent l="19050" t="19050" r="15240" b="13970"/>
            <wp:wrapNone/>
            <wp:docPr id="17" name="image11.jpg"/>
            <wp:cNvGraphicFramePr/>
            <a:graphic xmlns:a="http://schemas.openxmlformats.org/drawingml/2006/main">
              <a:graphicData uri="http://schemas.openxmlformats.org/drawingml/2006/picture">
                <pic:pic xmlns:pic="http://schemas.openxmlformats.org/drawingml/2006/picture">
                  <pic:nvPicPr>
                    <pic:cNvPr id="17" name="image11.jpg"/>
                    <pic:cNvPicPr preferRelativeResize="0"/>
                  </pic:nvPicPr>
                  <pic:blipFill>
                    <a:blip r:embed="rId32" cstate="print"/>
                    <a:srcRect l="1" r="488"/>
                    <a:stretch>
                      <a:fillRect/>
                    </a:stretch>
                  </pic:blipFill>
                  <pic:spPr>
                    <a:xfrm>
                      <a:off x="0" y="0"/>
                      <a:ext cx="5471160" cy="3872230"/>
                    </a:xfrm>
                    <a:prstGeom prst="rect">
                      <a:avLst/>
                    </a:prstGeom>
                    <a:ln w="12700">
                      <a:solidFill>
                        <a:srgbClr val="000000"/>
                      </a:solidFill>
                      <a:prstDash val="solid"/>
                    </a:ln>
                  </pic:spPr>
                </pic:pic>
              </a:graphicData>
            </a:graphic>
          </wp:anchor>
        </w:drawing>
      </w:r>
    </w:p>
    <w:p w:rsidR="00E944C2" w:rsidRDefault="00E944C2" w:rsidP="00316155">
      <w:pPr>
        <w:pStyle w:val="Normal1"/>
        <w:jc w:val="both"/>
        <w:rPr>
          <w:rFonts w:ascii="Times New Roman" w:eastAsia="Times New Roman" w:hAnsi="Times New Roman" w:cs="Times New Roman"/>
          <w:sz w:val="24"/>
          <w:szCs w:val="24"/>
        </w:rPr>
      </w:pPr>
    </w:p>
    <w:tbl>
      <w:tblPr>
        <w:tblStyle w:val="31"/>
        <w:tblW w:w="9159" w:type="dxa"/>
        <w:tblInd w:w="100" w:type="dxa"/>
        <w:tblLayout w:type="fixed"/>
        <w:tblLook w:val="04A0"/>
      </w:tblPr>
      <w:tblGrid>
        <w:gridCol w:w="2176"/>
        <w:gridCol w:w="1972"/>
        <w:gridCol w:w="1276"/>
        <w:gridCol w:w="3685"/>
        <w:gridCol w:w="50"/>
      </w:tblGrid>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SPECIFIČNI CILJ I </w:t>
            </w:r>
          </w:p>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858"/>
          <w:tblHeader/>
        </w:trPr>
        <w:tc>
          <w:tcPr>
            <w:tcW w:w="9109" w:type="dxa"/>
            <w:gridSpan w:val="4"/>
            <w:tcBorders>
              <w:left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21-</w:t>
            </w:r>
            <w:r>
              <w:rPr>
                <w:rFonts w:ascii="Times New Roman" w:eastAsia="Times New Roman" w:hAnsi="Times New Roman" w:cs="Times New Roman"/>
                <w:sz w:val="24"/>
                <w:szCs w:val="24"/>
              </w:rPr>
              <w:t xml:space="preserve"> IZGRADNJA ISTOČNE TRIBINE GRADSKOG STADIONA</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 </w:t>
            </w:r>
          </w:p>
          <w:p w:rsidR="00E944C2" w:rsidRDefault="00E944C2" w:rsidP="00316155">
            <w:pPr>
              <w:pStyle w:val="Normal1"/>
              <w:spacing w:after="0" w:line="240" w:lineRule="auto"/>
              <w:jc w:val="both"/>
              <w:rPr>
                <w:rFonts w:ascii="Times New Roman" w:eastAsia="Times New Roman" w:hAnsi="Times New Roman" w:cs="Times New Roman"/>
                <w:b/>
                <w:color w:val="FFFFFF"/>
                <w:sz w:val="24"/>
                <w:szCs w:val="24"/>
              </w:rPr>
            </w:pPr>
          </w:p>
          <w:p w:rsidR="00E944C2" w:rsidRDefault="00F7666C" w:rsidP="00316155">
            <w:pPr>
              <w:pStyle w:val="Normal1"/>
              <w:spacing w:after="0" w:line="240" w:lineRule="auto"/>
              <w:jc w:val="both"/>
              <w:rPr>
                <w:rFonts w:ascii="Times New Roman" w:eastAsia="Times New Roman" w:hAnsi="Times New Roman" w:cs="Times New Roman"/>
                <w:color w:val="FFFFFF"/>
              </w:rPr>
            </w:pPr>
            <w:r>
              <w:rPr>
                <w:rFonts w:ascii="Times New Roman" w:eastAsia="Times New Roman" w:hAnsi="Times New Roman" w:cs="Times New Roman"/>
                <w:color w:val="FFFFFF"/>
              </w:rPr>
              <w:t>Ključni cilj je poboljšati sportsku infrastrukturu grada kroz izgradnju nove tribine na gradskom stadionu, čime se unapređuju uslovi za održavanje sportskih i kulturnih manifestacija, povećava bezbjednost i komfor gledalaca, te podstiče razvoj lokalne zajednice i sporta.</w:t>
            </w:r>
          </w:p>
          <w:p w:rsidR="00E944C2" w:rsidRDefault="00F7666C" w:rsidP="00E36C81">
            <w:pPr>
              <w:pStyle w:val="Heading3"/>
              <w:spacing w:before="0" w:line="240" w:lineRule="auto"/>
              <w:jc w:val="both"/>
              <w:rPr>
                <w:b w:val="0"/>
                <w:i w:val="0"/>
                <w:color w:val="FFFFFF"/>
              </w:rPr>
            </w:pPr>
            <w:bookmarkStart w:id="126" w:name="_Toc212039604"/>
            <w:bookmarkStart w:id="127" w:name="_Toc212035829"/>
            <w:bookmarkStart w:id="128" w:name="_Toc212028133"/>
            <w:r>
              <w:rPr>
                <w:b w:val="0"/>
                <w:i w:val="0"/>
                <w:color w:val="FFFFFF"/>
                <w:sz w:val="22"/>
                <w:szCs w:val="22"/>
              </w:rPr>
              <w:t xml:space="preserve">Izlazni indikatori se ogledaju u </w:t>
            </w:r>
            <w:r>
              <w:rPr>
                <w:b w:val="0"/>
                <w:i w:val="0"/>
                <w:color w:val="FFFFFF"/>
              </w:rPr>
              <w:t>i</w:t>
            </w:r>
            <w:r>
              <w:rPr>
                <w:b w:val="0"/>
                <w:i w:val="0"/>
                <w:color w:val="FFFFFF"/>
                <w:sz w:val="22"/>
                <w:szCs w:val="22"/>
              </w:rPr>
              <w:t>zgrađenoj i potpuno funkcionalnoj tribini kapaciteta od 6100 sjedišta, sa pratećom infrastrukturom (rasvjeta, pristupne staze, sanitarni čvorovi, instalacije), koja ispunjava važeće tehničke i bezbjednosne standarde i omogućava korištenje objekta za sportske događaje višeg ranga</w:t>
            </w:r>
            <w:r>
              <w:rPr>
                <w:b w:val="0"/>
                <w:i w:val="0"/>
                <w:color w:val="FFFFFF"/>
              </w:rPr>
              <w:t>.</w:t>
            </w:r>
            <w:bookmarkEnd w:id="126"/>
            <w:bookmarkEnd w:id="127"/>
            <w:bookmarkEnd w:id="128"/>
          </w:p>
          <w:p w:rsidR="00E944C2" w:rsidRDefault="00E944C2" w:rsidP="00316155">
            <w:pPr>
              <w:pStyle w:val="Normal1"/>
              <w:widowControl w:val="0"/>
              <w:spacing w:after="0" w:line="226" w:lineRule="auto"/>
              <w:jc w:val="both"/>
              <w:rPr>
                <w:rFonts w:ascii="Times New Roman" w:eastAsia="Times New Roman" w:hAnsi="Times New Roman" w:cs="Times New Roman"/>
                <w:sz w:val="24"/>
                <w:szCs w:val="24"/>
              </w:rPr>
            </w:pPr>
          </w:p>
        </w:tc>
      </w:tr>
      <w:tr w:rsidR="00E944C2" w:rsidTr="00316155">
        <w:trPr>
          <w:gridAfter w:val="1"/>
          <w:wAfter w:w="50" w:type="dxa"/>
          <w:cantSplit/>
          <w:trHeight w:val="630"/>
          <w:tblHeader/>
        </w:trPr>
        <w:tc>
          <w:tcPr>
            <w:tcW w:w="9109" w:type="dxa"/>
            <w:gridSpan w:val="4"/>
            <w:tcBorders>
              <w:left w:val="single" w:sz="4" w:space="0" w:color="BFBFBF"/>
              <w:right w:val="single" w:sz="4" w:space="0" w:color="BFBFBF"/>
            </w:tcBorders>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b/>
                <w:sz w:val="24"/>
                <w:szCs w:val="24"/>
              </w:rPr>
              <w:t>Opis projekta:  Spratnost objekta je 2Po+P+6. Ukupna bruto površina objekta je 31.666,90m</w:t>
            </w:r>
            <w:r>
              <w:rPr>
                <w:rFonts w:ascii="Times New Roman" w:eastAsia="Times New Roman" w:hAnsi="Times New Roman" w:cs="Times New Roman"/>
                <w:b/>
                <w:sz w:val="24"/>
                <w:szCs w:val="24"/>
                <w:vertAlign w:val="superscript"/>
              </w:rPr>
              <w:t>2</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Projektovani objekat ima dvije podzemne etaže organizovane tako da je na etaži -2 (kota -7.00m) projektovana javna garaža sa jednosmjernim saobraćajem, sa 113 parking mjesta od čega je 8 parking mjesta za lica smanjene pokretljivosti. Dio garaže koji je namijenjen za VIP i specijalne VIP goste ima kapacitet od 116 parking mjesta, od čega je 6 parking mjesta za lica smanjene pokretljivosti. Osim toga na ovoj etaži su predviđene tehničke prostorije, kao i pristup rezervoaru za irigaciju. Na etaži -1 su projektovane: javna garaža sa 223 parking mjesta (od čega je 14 parking mjesta za lica smanjene pokretljivosti), tehničke prostorije, rezervoar za sprinkler, kao i ostave za reklame i rezervne stolice.</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Na prizemnoj etaži je organizovano 5 ulaza za publiku, sa sigurnosnim kapijama i jasno naznačenim sektorima; dva evakuaciona ulaza za VIP gledaoce na krajnjim „plavim“ vertikalama objekta, gdje su i ulazi za novinare i korisnike komercijalnih prostora, kao i ulaz za lica smanjene pokretljivosti; dok je centralno smješten evakuacioni ulaz za specijalne VIP goste. Svi ovi ulazi su formirani direktno sa trga ispred objekta, dok se posebnim funkcijama pristupa iz podzemne garaže s obzirom na to da svi korisnici imaju posebne vertikalne komunikacije.</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Ulaz u podzemnu garažu je projektovan na sjevernoj strani, u okviru kog su smještene ambulante, ostave i tehničke prostorije. Takođe, na ovom potezu između istočne i sjeverne tribine je projektovan pristup igralištu u izuzetnim situacijama, za interventna i vozila hitne pomoći. U tom dijelu je i parking za vatrogasno vozilo i vozilo hitne pomoći. Ulaz za igrače, stručni štab i zvaničnike je na južnoj strani, orjentisan na parking prostore i pristup za autobuse i vozila. Čitav ovaj prostor će za vrijeme odigravanja utakmica biti obezbijeđen sistemom zaštite – odgovarajućim barikadama. Van sportskih događaja, on će činiti sastavni dio trga u funkcionalnom smislu. Ulaz za igrače je direktno povezan sa studijom, miksom zonom i konferencijskom salom. Novinarima je, takođe, omogućen pristup ovim prostorima i to iz foajea koji</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je orjentisan na ulazni koridor. Centralnu poziciju na prizemnoj etaži zauzimaju poslovni prostori koji su organizovani kroz dva sprata.</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Biletarnice su smještene uz ulaz za novinare, odnosno ulaz za komercijalne prostore.</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Na prvom spratu su, kao što je već navedeno, organizovane galerije poslovnih prostora, kao i toaleti za publiku sa donje tribine. Na drugom spratu (kota +6.92m) najveću površinu zauzima plato za gledaoce sa komunikacijama, a obezbijeđena je komforna ''tampon'' zona na samom ulasku. Takođe, postavljanjem kliznih staklenih panela, u zoni između pomenutog platoa i terasa (koje gledaju ka brdu Gorica), uspješno će se kontrolisati uticaj dominantnog sjevernog vjetra (posebno u zimskom periodu). Treći sprat i dio četvrtog zauzimaju komercijalni prostori koji će se organizovati u zavisnosti od potreba krajnjih korisnika, dok su sada predviđeni da ostanu u sivoj fazi. Drugi dio četvrtog sprata pripada novinarima. Tu su projektovani svi potrebni sadržaji koji uključuju salu za fotografe, salu za rad novinara, kantinu, sanitarne i pomoćne prostorije, i posebno novinarsku ložu sa 50 mjesta, od čega je 26 mjesta sa stolovima opremljenim potrebnom elektronskom opremom. Peta etaža je podređena VIP i specijalnim VIP korisnicima. Za njih su projektovani saloni sa toaletima i ostavama, kao i VIP loža sa 260 mjesta, odnosno loža za specijalne VIP goste, koja broji ukupno 50 mjesta, od čega je 20 mjesta raspoređeno u 4 boksa sa po 5 sjedišta. Na šestom spratu su projektovani barovi sa kuhinjama za VIP i specijalne VIP goste, koji imaju svoje terase sa kojih se pruža fantastičan pogled na brdo Gorica. Takođe, na ovoj etaži su smještena dva TV studija, glavna i dvije bočne kamere, kao i plato za reportere sa 18 mjesta sa stolovima opremljenim potrebnom elektronskom opremom.</w:t>
            </w:r>
          </w:p>
          <w:p w:rsidR="00E944C2" w:rsidRDefault="00F7666C" w:rsidP="00E36C81">
            <w:pPr>
              <w:pStyle w:val="Normal1"/>
              <w:spacing w:after="0" w:line="240" w:lineRule="auto"/>
              <w:jc w:val="both"/>
              <w:rPr>
                <w:rFonts w:ascii="Times New Roman" w:eastAsia="Times New Roman" w:hAnsi="Times New Roman" w:cs="Times New Roman"/>
              </w:rPr>
            </w:pPr>
            <w:r>
              <w:rPr>
                <w:rFonts w:ascii="Times New Roman" w:eastAsia="Times New Roman" w:hAnsi="Times New Roman" w:cs="Times New Roman"/>
              </w:rPr>
              <w:t>Ukupan kapacitet tribine je 6100 mjesta, od čega 5694 tribinskih mjesta za gledaoce i 30 mjesta za lica smanjene pokretljivosti, 66 mjesta za novinare, od čega 42 sa stolovima, 260 mjesta u VIP loži i 50 mjesta za specijalne VIP korisnike (od čega 20 mjesta u boksevima).</w:t>
            </w:r>
          </w:p>
          <w:p w:rsidR="00E944C2" w:rsidRDefault="00E944C2" w:rsidP="00316155">
            <w:pPr>
              <w:pStyle w:val="Normal1"/>
              <w:spacing w:after="0" w:line="240" w:lineRule="auto"/>
              <w:jc w:val="both"/>
              <w:rPr>
                <w:rFonts w:ascii="Arial" w:eastAsia="Arial" w:hAnsi="Arial" w:cs="Arial"/>
              </w:rPr>
            </w:pPr>
          </w:p>
          <w:p w:rsidR="00E944C2" w:rsidRDefault="00F7666C" w:rsidP="00E36C81">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Vodeći partner/Nosilac projekta: </w:t>
            </w:r>
            <w:r>
              <w:rPr>
                <w:rFonts w:ascii="Times New Roman" w:eastAsia="Times New Roman" w:hAnsi="Times New Roman" w:cs="Times New Roman"/>
                <w:sz w:val="24"/>
                <w:szCs w:val="24"/>
              </w:rPr>
              <w:t xml:space="preserve">Ministarstvo javnih radova i Agencija za izgradnju i razvoj Podgorice doo </w:t>
            </w: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Ministarstvo prostornog planiranja, urbanizma i državne imovine, Fudbalski savez Crne Gore</w:t>
            </w:r>
          </w:p>
          <w:p w:rsidR="00E944C2" w:rsidRDefault="00E944C2" w:rsidP="00E36C81">
            <w:pPr>
              <w:pStyle w:val="Normal1"/>
              <w:spacing w:after="0" w:line="240" w:lineRule="auto"/>
              <w:jc w:val="both"/>
              <w:rPr>
                <w:rFonts w:ascii="Times New Roman" w:eastAsia="Times New Roman" w:hAnsi="Times New Roman" w:cs="Times New Roman"/>
                <w:b/>
                <w:sz w:val="24"/>
                <w:szCs w:val="24"/>
              </w:rPr>
            </w:pPr>
          </w:p>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:n/a” -nema neriješenih imovinsko - pravnih odnosa</w:t>
            </w:r>
          </w:p>
          <w:p w:rsidR="00E944C2" w:rsidRDefault="00E944C2" w:rsidP="00E36C81">
            <w:pPr>
              <w:pStyle w:val="Normal1"/>
              <w:spacing w:after="0" w:line="240" w:lineRule="auto"/>
              <w:jc w:val="both"/>
              <w:rPr>
                <w:rFonts w:ascii="Times New Roman" w:eastAsia="Times New Roman" w:hAnsi="Times New Roman" w:cs="Times New Roman"/>
                <w:sz w:val="24"/>
                <w:szCs w:val="24"/>
              </w:rPr>
            </w:pPr>
          </w:p>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 xml:space="preserve">-Završena tehnička dokumentacija. Predat zahtjev za građevinsku dozvolu. </w:t>
            </w:r>
          </w:p>
        </w:tc>
      </w:tr>
      <w:tr w:rsidR="00E944C2" w:rsidTr="00316155">
        <w:trPr>
          <w:gridAfter w:val="1"/>
          <w:wAfter w:w="50" w:type="dxa"/>
          <w:cantSplit/>
          <w:trHeight w:val="572"/>
          <w:tblHeader/>
        </w:trPr>
        <w:tc>
          <w:tcPr>
            <w:tcW w:w="9109" w:type="dxa"/>
            <w:gridSpan w:val="4"/>
            <w:tcBorders>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6A0398">
        <w:trPr>
          <w:cantSplit/>
          <w:trHeight w:val="432"/>
          <w:tblHeader/>
        </w:trPr>
        <w:tc>
          <w:tcPr>
            <w:tcW w:w="2176" w:type="dxa"/>
            <w:vMerge w:val="restart"/>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26.359.439,91 € -projektantski predračun</w:t>
            </w:r>
          </w:p>
          <w:p w:rsidR="00E944C2" w:rsidRDefault="00F7666C" w:rsidP="00316155">
            <w:pPr>
              <w:pStyle w:val="Normal1"/>
              <w:shd w:val="clear" w:color="auto" w:fill="FFFFFF"/>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budzet</w:t>
            </w:r>
          </w:p>
        </w:tc>
        <w:tc>
          <w:tcPr>
            <w:tcW w:w="1972"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276" w:type="dxa"/>
            <w:tcBorders>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3685" w:type="dxa"/>
            <w:tcBorders>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6A0398">
        <w:trPr>
          <w:cantSplit/>
          <w:trHeight w:val="831"/>
          <w:tblHeader/>
        </w:trPr>
        <w:tc>
          <w:tcPr>
            <w:tcW w:w="2176" w:type="dxa"/>
            <w:vMerge/>
            <w:tcBorders>
              <w:left w:val="single" w:sz="4" w:space="0" w:color="BFBFBF"/>
              <w:right w:val="single" w:sz="4" w:space="0" w:color="000000"/>
            </w:tcBorders>
            <w:shd w:val="clear" w:color="auto" w:fill="auto"/>
            <w:tcMar>
              <w:top w:w="0" w:type="dxa"/>
              <w:left w:w="115" w:type="dxa"/>
              <w:bottom w:w="0" w:type="dxa"/>
              <w:right w:w="115" w:type="dxa"/>
            </w:tcMar>
            <w:vAlign w:val="center"/>
          </w:tcPr>
          <w:p w:rsidR="00E944C2" w:rsidRDefault="00E944C2" w:rsidP="00316155">
            <w:pPr>
              <w:pStyle w:val="Normal1"/>
              <w:widowControl w:val="0"/>
              <w:spacing w:after="0" w:line="276" w:lineRule="auto"/>
              <w:jc w:val="both"/>
              <w:rPr>
                <w:rFonts w:ascii="Times New Roman" w:eastAsia="Times New Roman" w:hAnsi="Times New Roman" w:cs="Times New Roman"/>
                <w:sz w:val="24"/>
                <w:szCs w:val="24"/>
              </w:rPr>
            </w:pPr>
          </w:p>
        </w:tc>
        <w:tc>
          <w:tcPr>
            <w:tcW w:w="1972"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3685" w:type="dxa"/>
            <w:tcBorders>
              <w:top w:val="single" w:sz="4" w:space="0" w:color="000000"/>
              <w:left w:val="single" w:sz="4" w:space="0" w:color="000000"/>
              <w:bottom w:val="single" w:sz="4" w:space="0" w:color="000000"/>
              <w:right w:val="single" w:sz="4" w:space="0" w:color="BFBFBF"/>
            </w:tcBorders>
            <w:shd w:val="clear" w:color="auto" w:fill="auto"/>
            <w:tcMar>
              <w:top w:w="0" w:type="dxa"/>
              <w:left w:w="115" w:type="dxa"/>
              <w:bottom w:w="0" w:type="dxa"/>
              <w:right w:w="115" w:type="dxa"/>
            </w:tcMar>
            <w:vAlign w:val="center"/>
          </w:tcPr>
          <w:p w:rsidR="00E944C2" w:rsidRDefault="00F7666C" w:rsidP="00E36C81">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316155" w:rsidTr="006A0398">
        <w:trPr>
          <w:cantSplit/>
          <w:trHeight w:val="858"/>
          <w:tblHeader/>
        </w:trPr>
        <w:tc>
          <w:tcPr>
            <w:tcW w:w="2176" w:type="dxa"/>
            <w:tcBorders>
              <w:top w:val="single" w:sz="4" w:space="0" w:color="BFBFBF"/>
              <w:left w:val="single" w:sz="4" w:space="0" w:color="BFBFBF"/>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AKTIVNOSTI</w:t>
            </w:r>
          </w:p>
        </w:tc>
        <w:tc>
          <w:tcPr>
            <w:tcW w:w="1972" w:type="dxa"/>
            <w:tcBorders>
              <w:top w:val="single" w:sz="4" w:space="0" w:color="BFBFBF"/>
              <w:left w:val="single" w:sz="4" w:space="0" w:color="BFBFBF"/>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Odgovorna osoba</w:t>
            </w:r>
          </w:p>
        </w:tc>
        <w:tc>
          <w:tcPr>
            <w:tcW w:w="1276" w:type="dxa"/>
            <w:tcBorders>
              <w:top w:val="single" w:sz="4" w:space="0" w:color="BFBFBF"/>
              <w:left w:val="single" w:sz="4" w:space="0" w:color="000000"/>
              <w:bottom w:val="single" w:sz="4" w:space="0" w:color="BFBFBF"/>
              <w:right w:val="single" w:sz="4" w:space="0" w:color="000000"/>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Datum početka</w:t>
            </w:r>
          </w:p>
        </w:tc>
        <w:tc>
          <w:tcPr>
            <w:tcW w:w="3685" w:type="dxa"/>
            <w:tcBorders>
              <w:top w:val="single" w:sz="4" w:space="0" w:color="BFBFBF"/>
              <w:left w:val="single" w:sz="4" w:space="0" w:color="000000"/>
              <w:bottom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Krajnji rok</w:t>
            </w: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6A0398">
        <w:trPr>
          <w:cantSplit/>
          <w:trHeight w:val="572"/>
          <w:tblHeader/>
        </w:trPr>
        <w:tc>
          <w:tcPr>
            <w:tcW w:w="21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Pribavljanje građevinske dozvole</w:t>
            </w:r>
          </w:p>
        </w:tc>
        <w:tc>
          <w:tcPr>
            <w:tcW w:w="197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36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6A0398">
        <w:trPr>
          <w:cantSplit/>
          <w:trHeight w:val="572"/>
          <w:tblHeader/>
        </w:trPr>
        <w:tc>
          <w:tcPr>
            <w:tcW w:w="21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Prijava početka radova</w:t>
            </w:r>
          </w:p>
        </w:tc>
        <w:tc>
          <w:tcPr>
            <w:tcW w:w="197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prostornog planiranja, urbanizma i državne imovine</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36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6A0398">
        <w:trPr>
          <w:cantSplit/>
          <w:trHeight w:val="572"/>
          <w:tblHeader/>
        </w:trPr>
        <w:tc>
          <w:tcPr>
            <w:tcW w:w="21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Javni poziv za odabir Izvođača i Stručnog nadzora</w:t>
            </w:r>
          </w:p>
        </w:tc>
        <w:tc>
          <w:tcPr>
            <w:tcW w:w="197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javnih radova/ Agencija za izgradnju i razvoj Podgorice doo</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36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6A0398">
        <w:trPr>
          <w:cantSplit/>
          <w:trHeight w:val="572"/>
          <w:tblHeader/>
        </w:trPr>
        <w:tc>
          <w:tcPr>
            <w:tcW w:w="21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Aktivnosti na izvođenju radova</w:t>
            </w:r>
          </w:p>
        </w:tc>
        <w:tc>
          <w:tcPr>
            <w:tcW w:w="1972"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F7666C" w:rsidP="00316155">
            <w:pPr>
              <w:pStyle w:val="Normal1"/>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javnih radova/ Agencija za izgradnju i razvoj Podgorice doo</w:t>
            </w:r>
          </w:p>
        </w:tc>
        <w:tc>
          <w:tcPr>
            <w:tcW w:w="1276"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3685" w:type="dxa"/>
            <w:tcBorders>
              <w:top w:val="single" w:sz="4" w:space="0" w:color="BFBFBF"/>
              <w:left w:val="single" w:sz="4" w:space="0" w:color="BFBFBF"/>
              <w:bottom w:val="single" w:sz="4" w:space="0" w:color="BFBFBF"/>
              <w:right w:val="single" w:sz="4" w:space="0" w:color="BFBFBF"/>
            </w:tcBorders>
            <w:shd w:val="clear" w:color="auto" w:fill="auto"/>
            <w:tcMar>
              <w:top w:w="0" w:type="dxa"/>
              <w:left w:w="115" w:type="dxa"/>
              <w:bottom w:w="0" w:type="dxa"/>
              <w:right w:w="115" w:type="dxa"/>
            </w:tcMar>
            <w:vAlign w:val="center"/>
          </w:tcPr>
          <w:p w:rsidR="00E944C2" w:rsidRDefault="00E944C2" w:rsidP="00316155">
            <w:pPr>
              <w:pStyle w:val="Normal1"/>
              <w:spacing w:after="0" w:line="240" w:lineRule="auto"/>
              <w:jc w:val="both"/>
              <w:rPr>
                <w:rFonts w:ascii="Times New Roman" w:eastAsia="Times New Roman" w:hAnsi="Times New Roman" w:cs="Times New Roman"/>
                <w:color w:val="FF0000"/>
                <w:sz w:val="24"/>
                <w:szCs w:val="24"/>
              </w:rPr>
            </w:pPr>
          </w:p>
        </w:tc>
        <w:tc>
          <w:tcPr>
            <w:tcW w:w="50" w:type="dxa"/>
            <w:vAlign w:val="center"/>
          </w:tcPr>
          <w:p w:rsidR="00E944C2" w:rsidRDefault="00E944C2" w:rsidP="00316155">
            <w:pPr>
              <w:pStyle w:val="Normal1"/>
              <w:spacing w:after="0" w:line="240" w:lineRule="auto"/>
              <w:jc w:val="both"/>
              <w:rPr>
                <w:rFonts w:ascii="Times New Roman" w:eastAsia="Times New Roman" w:hAnsi="Times New Roman" w:cs="Times New Roman"/>
                <w:sz w:val="24"/>
                <w:szCs w:val="24"/>
              </w:rPr>
            </w:pPr>
          </w:p>
        </w:tc>
      </w:tr>
      <w:tr w:rsidR="00E944C2" w:rsidTr="00316155">
        <w:trPr>
          <w:gridAfter w:val="1"/>
          <w:wAfter w:w="50" w:type="dxa"/>
          <w:cantSplit/>
          <w:trHeight w:val="572"/>
          <w:tblHeader/>
        </w:trPr>
        <w:tc>
          <w:tcPr>
            <w:tcW w:w="9109" w:type="dxa"/>
            <w:gridSpan w:val="4"/>
            <w:tcBorders>
              <w:top w:val="single" w:sz="4" w:space="0" w:color="BFBFBF"/>
              <w:left w:val="single" w:sz="4" w:space="0" w:color="BFBFBF"/>
              <w:right w:val="single" w:sz="4" w:space="0" w:color="BFBFBF"/>
            </w:tcBorders>
            <w:shd w:val="clear" w:color="auto" w:fill="0070C0"/>
            <w:tcMar>
              <w:top w:w="0" w:type="dxa"/>
              <w:left w:w="115" w:type="dxa"/>
              <w:bottom w:w="0" w:type="dxa"/>
              <w:right w:w="115" w:type="dxa"/>
            </w:tcMar>
            <w:vAlign w:val="center"/>
          </w:tcPr>
          <w:p w:rsidR="00E944C2" w:rsidRDefault="00F7666C" w:rsidP="00316155">
            <w:pPr>
              <w:pStyle w:val="Normal1"/>
              <w:shd w:val="clear" w:color="auto" w:fill="0070C0"/>
              <w:spacing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jc w:val="both"/>
              <w:rPr>
                <w:rFonts w:ascii="Times New Roman" w:eastAsia="Times New Roman" w:hAnsi="Times New Roman" w:cs="Times New Roman"/>
                <w:b/>
                <w:sz w:val="24"/>
                <w:szCs w:val="24"/>
              </w:rPr>
            </w:pPr>
          </w:p>
        </w:tc>
      </w:tr>
    </w:tbl>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316155">
      <w:pPr>
        <w:pStyle w:val="Normal1"/>
        <w:jc w:val="both"/>
        <w:rPr>
          <w:rFonts w:ascii="Times New Roman" w:eastAsia="Times New Roman" w:hAnsi="Times New Roman" w:cs="Times New Roman"/>
          <w:sz w:val="24"/>
          <w:szCs w:val="24"/>
        </w:rPr>
      </w:pPr>
    </w:p>
    <w:p w:rsidR="002F3E03" w:rsidRDefault="002F3E03" w:rsidP="00316155">
      <w:pPr>
        <w:pStyle w:val="Normal1"/>
        <w:jc w:val="both"/>
        <w:rPr>
          <w:rFonts w:ascii="Times New Roman" w:eastAsia="Times New Roman" w:hAnsi="Times New Roman" w:cs="Times New Roman"/>
          <w:sz w:val="24"/>
          <w:szCs w:val="24"/>
        </w:rPr>
      </w:pPr>
    </w:p>
    <w:p w:rsidR="00E944C2" w:rsidRDefault="002F3E03" w:rsidP="00316155">
      <w:pPr>
        <w:pStyle w:val="Normal1"/>
        <w:jc w:val="both"/>
        <w:rPr>
          <w:rFonts w:ascii="Times New Roman" w:eastAsia="Times New Roman" w:hAnsi="Times New Roman" w:cs="Times New Roman"/>
          <w:sz w:val="24"/>
          <w:szCs w:val="24"/>
        </w:rPr>
      </w:pPr>
      <w:r>
        <w:rPr>
          <w:noProof/>
          <w:lang w:val="en-US" w:eastAsia="en-US"/>
        </w:rPr>
        <w:drawing>
          <wp:anchor distT="0" distB="0" distL="0" distR="0" simplePos="0" relativeHeight="251671552" behindDoc="1" locked="0" layoutInCell="1" allowOverlap="1">
            <wp:simplePos x="0" y="0"/>
            <wp:positionH relativeFrom="column">
              <wp:posOffset>-78828</wp:posOffset>
            </wp:positionH>
            <wp:positionV relativeFrom="paragraph">
              <wp:posOffset>283779</wp:posOffset>
            </wp:positionV>
            <wp:extent cx="5880538" cy="5139559"/>
            <wp:effectExtent l="19050" t="19050" r="25400" b="23495"/>
            <wp:wrapNone/>
            <wp:docPr id="27" name="image16.png"/>
            <wp:cNvGraphicFramePr/>
            <a:graphic xmlns:a="http://schemas.openxmlformats.org/drawingml/2006/main">
              <a:graphicData uri="http://schemas.openxmlformats.org/drawingml/2006/picture">
                <pic:pic xmlns:pic="http://schemas.openxmlformats.org/drawingml/2006/picture">
                  <pic:nvPicPr>
                    <pic:cNvPr id="27" name="image16.png"/>
                    <pic:cNvPicPr preferRelativeResize="0"/>
                  </pic:nvPicPr>
                  <pic:blipFill>
                    <a:blip r:embed="rId33" cstate="print"/>
                    <a:srcRect t="6834" b="6591"/>
                    <a:stretch>
                      <a:fillRect/>
                    </a:stretch>
                  </pic:blipFill>
                  <pic:spPr>
                    <a:xfrm>
                      <a:off x="0" y="0"/>
                      <a:ext cx="5888764" cy="5146749"/>
                    </a:xfrm>
                    <a:prstGeom prst="rect">
                      <a:avLst/>
                    </a:prstGeom>
                    <a:ln w="3175">
                      <a:solidFill>
                        <a:srgbClr val="000000"/>
                      </a:solidFill>
                      <a:prstDash val="solid"/>
                    </a:ln>
                  </pic:spPr>
                </pic:pic>
              </a:graphicData>
            </a:graphic>
          </wp:anchor>
        </w:drawing>
      </w:r>
    </w:p>
    <w:p w:rsidR="00E944C2" w:rsidRDefault="00E944C2" w:rsidP="00316155">
      <w:pPr>
        <w:pStyle w:val="Normal1"/>
        <w:jc w:val="both"/>
        <w:rPr>
          <w:rFonts w:ascii="Times New Roman" w:eastAsia="Times New Roman" w:hAnsi="Times New Roman" w:cs="Times New Roman"/>
          <w:sz w:val="24"/>
          <w:szCs w:val="24"/>
        </w:rPr>
      </w:pPr>
    </w:p>
    <w:p w:rsidR="00E944C2" w:rsidRDefault="00E944C2" w:rsidP="00E36C81">
      <w:pPr>
        <w:pStyle w:val="Normal1"/>
        <w:spacing w:line="360" w:lineRule="auto"/>
        <w:jc w:val="both"/>
        <w:rPr>
          <w:rFonts w:ascii="Times New Roman" w:eastAsia="Times New Roman" w:hAnsi="Times New Roman" w:cs="Times New Roman"/>
          <w:sz w:val="24"/>
          <w:szCs w:val="24"/>
        </w:rPr>
        <w:sectPr w:rsidR="00E944C2" w:rsidSect="00316155">
          <w:headerReference w:type="even" r:id="rId34"/>
          <w:headerReference w:type="default" r:id="rId35"/>
          <w:footerReference w:type="default" r:id="rId36"/>
          <w:headerReference w:type="first" r:id="rId37"/>
          <w:pgSz w:w="12240" w:h="15840"/>
          <w:pgMar w:top="1418" w:right="1440" w:bottom="1440" w:left="1440" w:header="720" w:footer="720" w:gutter="0"/>
          <w:cols w:space="720"/>
        </w:sectPr>
      </w:pPr>
    </w:p>
    <w:p w:rsidR="00E944C2" w:rsidRDefault="00E944C2" w:rsidP="00E36C81">
      <w:pPr>
        <w:pStyle w:val="Normal1"/>
        <w:spacing w:line="360" w:lineRule="auto"/>
        <w:jc w:val="both"/>
        <w:rPr>
          <w:rFonts w:ascii="Times New Roman" w:eastAsia="Times New Roman" w:hAnsi="Times New Roman" w:cs="Times New Roman"/>
          <w:sz w:val="24"/>
          <w:szCs w:val="24"/>
        </w:rPr>
      </w:pPr>
    </w:p>
    <w:tbl>
      <w:tblPr>
        <w:tblStyle w:val="30"/>
        <w:tblW w:w="8865" w:type="dxa"/>
        <w:tblInd w:w="20" w:type="dxa"/>
        <w:tblLayout w:type="fixed"/>
        <w:tblLook w:val="04A0"/>
      </w:tblPr>
      <w:tblGrid>
        <w:gridCol w:w="3444"/>
        <w:gridCol w:w="2096"/>
        <w:gridCol w:w="2007"/>
        <w:gridCol w:w="1258"/>
        <w:gridCol w:w="60"/>
      </w:tblGrid>
      <w:tr w:rsidR="00E944C2">
        <w:trPr>
          <w:cantSplit/>
          <w:trHeight w:val="570"/>
          <w:tblHeader/>
        </w:trPr>
        <w:tc>
          <w:tcPr>
            <w:tcW w:w="886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b/>
                <w:color w:val="FFFFFF"/>
                <w:sz w:val="24"/>
                <w:szCs w:val="24"/>
              </w:rPr>
              <w:t xml:space="preserve">SPECIFIČNI CILJ I </w:t>
            </w:r>
          </w:p>
        </w:tc>
      </w:tr>
      <w:tr w:rsidR="00E944C2">
        <w:trPr>
          <w:cantSplit/>
          <w:trHeight w:val="85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PROJEKAT BROJ 22 -</w:t>
            </w:r>
            <w:r>
              <w:rPr>
                <w:rFonts w:ascii="Times New Roman" w:eastAsia="Arial" w:hAnsi="Times New Roman" w:cs="Times New Roman"/>
                <w:sz w:val="24"/>
                <w:szCs w:val="24"/>
              </w:rPr>
              <w:t>STRATEŠKA DOKUMENTA ZA RAZVOJ SAOBRAĆAJA</w:t>
            </w:r>
          </w:p>
        </w:tc>
      </w:tr>
      <w:tr w:rsidR="00E944C2">
        <w:trPr>
          <w:cantSplit/>
          <w:trHeight w:val="963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b/>
                <w:color w:val="FFFFFF"/>
                <w:sz w:val="24"/>
                <w:szCs w:val="24"/>
              </w:rPr>
              <w:t xml:space="preserve">KLJUČNI CILJ I IZLAZNI INDIKATORI: </w:t>
            </w:r>
          </w:p>
          <w:p w:rsidR="00E944C2" w:rsidRDefault="00E944C2" w:rsidP="00E36C81">
            <w:pPr>
              <w:pStyle w:val="Normal1"/>
              <w:spacing w:before="240" w:after="0" w:line="276" w:lineRule="auto"/>
              <w:jc w:val="both"/>
              <w:rPr>
                <w:rFonts w:ascii="Times New Roman" w:eastAsia="Arial" w:hAnsi="Times New Roman" w:cs="Times New Roman"/>
                <w:sz w:val="24"/>
                <w:szCs w:val="24"/>
              </w:rPr>
            </w:pPr>
          </w:p>
          <w:p w:rsidR="00E944C2" w:rsidRDefault="00F7666C" w:rsidP="00E36C81">
            <w:pPr>
              <w:pStyle w:val="Normal1"/>
              <w:spacing w:before="240" w:after="240" w:line="276" w:lineRule="auto"/>
              <w:ind w:left="360"/>
              <w:jc w:val="both"/>
              <w:rPr>
                <w:rFonts w:ascii="Times New Roman" w:eastAsia="Arial" w:hAnsi="Times New Roman" w:cs="Times New Roman"/>
                <w:sz w:val="24"/>
                <w:szCs w:val="24"/>
              </w:rPr>
            </w:pPr>
            <w:r>
              <w:rPr>
                <w:rFonts w:ascii="Times New Roman" w:eastAsia="Cambria" w:hAnsi="Times New Roman" w:cs="Times New Roman"/>
                <w:sz w:val="24"/>
                <w:szCs w:val="24"/>
              </w:rPr>
              <w:t>-</w:t>
            </w:r>
            <w:r>
              <w:rPr>
                <w:rFonts w:ascii="Times New Roman" w:eastAsia="Arial" w:hAnsi="Times New Roman" w:cs="Times New Roman"/>
                <w:sz w:val="24"/>
                <w:szCs w:val="24"/>
              </w:rPr>
              <w:t>Izrada Studije razvoja saobraćaja za Glavni grad Podgorica</w:t>
            </w:r>
          </w:p>
          <w:p w:rsidR="00E944C2" w:rsidRDefault="00F7666C" w:rsidP="00E36C81">
            <w:pPr>
              <w:pStyle w:val="Normal1"/>
              <w:spacing w:before="240" w:after="240" w:line="276" w:lineRule="auto"/>
              <w:ind w:left="360"/>
              <w:jc w:val="both"/>
              <w:rPr>
                <w:rFonts w:ascii="Times New Roman" w:eastAsia="Arial" w:hAnsi="Times New Roman" w:cs="Times New Roman"/>
                <w:sz w:val="24"/>
                <w:szCs w:val="24"/>
              </w:rPr>
            </w:pPr>
            <w:r>
              <w:rPr>
                <w:rFonts w:ascii="Times New Roman" w:eastAsia="Cambria" w:hAnsi="Times New Roman" w:cs="Times New Roman"/>
                <w:sz w:val="24"/>
                <w:szCs w:val="24"/>
              </w:rPr>
              <w:t>-</w:t>
            </w:r>
            <w:r>
              <w:rPr>
                <w:rFonts w:ascii="Times New Roman" w:eastAsia="Arial" w:hAnsi="Times New Roman" w:cs="Times New Roman"/>
                <w:sz w:val="24"/>
                <w:szCs w:val="24"/>
              </w:rPr>
              <w:t>Izrada Studije Bike sharing</w:t>
            </w:r>
          </w:p>
          <w:p w:rsidR="00E944C2" w:rsidRDefault="00F7666C" w:rsidP="00E36C81">
            <w:pPr>
              <w:pStyle w:val="Normal1"/>
              <w:spacing w:before="240"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Osnovni cilj izrade Studije razvoja saobraćaja je da se analiziraju postojeći kapaciteti transportne ponude (saobraćajna infrastruktura, javni gradski i prigradski prevoz, taksi prevoz, sistem javnog parkiranja), identifikuju karakteristike saobraćajne potražnje (potrebe zajednice za prevozom – obim potrebe za putovanjima, prostorna raspodjela putovanja, svrha putovanja, izbor vidova prevoza) i definiše osnova za strateško planiranje razvoja saobraćajnog sistema Glavnog grada Podgorice, odnosno planova održive urbane mobilnosti, studija ekonomske opravdanosti, i operativno upravljanje saobraćajno transportnim sistemom.</w:t>
            </w:r>
          </w:p>
          <w:p w:rsidR="00E944C2" w:rsidRDefault="00F7666C" w:rsidP="00E36C81">
            <w:pPr>
              <w:pStyle w:val="Normal1"/>
              <w:spacing w:before="240"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Pored primarnih ciljeva, izrada saobraćajne studije će omogućiti ostvarenje sekundarnih saobraćajnih ciljeva:</w:t>
            </w:r>
          </w:p>
          <w:p w:rsidR="00E944C2" w:rsidRDefault="00F7666C" w:rsidP="00E36C81">
            <w:pPr>
              <w:pStyle w:val="Normal1"/>
              <w:spacing w:before="240"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    Formiranje geobaze podataka o karakteristikama transportne ponude (prostorni podaci o saobraćajnim zonama, uličnoj mreži, raskrsnicama, sistemu javnog gradskog prevoza, sistemu javnog parkiranja, atributima taksi prevoza, sistemu mikromobilnosti – biciklističke staze, biciklistički parkinzi, sistemi za dijeljenje trotineta);</w:t>
            </w:r>
          </w:p>
          <w:p w:rsidR="00E944C2" w:rsidRDefault="00F7666C" w:rsidP="00E36C81">
            <w:pPr>
              <w:pStyle w:val="Normal1"/>
              <w:spacing w:before="240"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  Formiranje informacione osnove o karakteristikama saobraćajne potražnje (saobraćajno opterećenje, brzina saobraćajnog toka, obim korišćenja privatnog prevoza i javnog gradskog prevoza, korišćenje biciklističkog prevoza, svrhe putovanja, prostorna raspodjela putovanja, vremenska distribucija putovanja);</w:t>
            </w:r>
          </w:p>
          <w:p w:rsidR="00E944C2" w:rsidRDefault="00F7666C" w:rsidP="00E36C81">
            <w:pPr>
              <w:pStyle w:val="Normal1"/>
              <w:spacing w:before="240"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  Formiranje digitalne platforme za primjenu inteligentnih transportnih sistema (izrada baze podataka i makro modela za simulaciju saobraćaja, izrada platforme za primjenu simulacionih modela na mikro nivou, baza podataka za primjenu adaptivnih sistema upravljanja saobraćajem i drugih ITS sistema).</w:t>
            </w:r>
          </w:p>
          <w:p w:rsidR="00E944C2" w:rsidRDefault="00F7666C">
            <w:pPr>
              <w:pStyle w:val="Normal1"/>
              <w:spacing w:before="240" w:after="240" w:line="276" w:lineRule="auto"/>
              <w:jc w:val="both"/>
              <w:rPr>
                <w:rFonts w:ascii="Arial" w:eastAsia="Arial" w:hAnsi="Arial" w:cs="Arial"/>
                <w:sz w:val="20"/>
                <w:szCs w:val="20"/>
              </w:rPr>
            </w:pPr>
            <w:r>
              <w:rPr>
                <w:rFonts w:ascii="Times New Roman" w:eastAsia="Arial" w:hAnsi="Times New Roman" w:cs="Times New Roman"/>
                <w:sz w:val="24"/>
                <w:szCs w:val="24"/>
              </w:rPr>
              <w:t>Studija Bike sharing ima za cilj razvoj biciklističke mikromobilnosti, uz naglasak na održivost i inovacije kao i analizu postojećih saobraćajnih tokova, prikupljanje podataka o trenutnoj biciklističkoj infrastrukturi u Podgorici, uključujući broj bicikala i postojeću biciklističku infrastrukturu. Poseban fokus bi bio na identifikaciji potencijalnih lokacija pogodnih za postavljanje eko održivih stanica koje koriste solar panele za napajanje i procjenu korišćenja bicikala među građanima.</w:t>
            </w:r>
          </w:p>
        </w:tc>
      </w:tr>
      <w:tr w:rsidR="00E944C2">
        <w:trPr>
          <w:cantSplit/>
          <w:trHeight w:val="1540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Opis projekta: </w:t>
            </w:r>
          </w:p>
          <w:p w:rsidR="00E944C2" w:rsidRDefault="00E944C2" w:rsidP="00E36C81">
            <w:pPr>
              <w:pStyle w:val="Normal1"/>
              <w:spacing w:before="240" w:after="0" w:line="276" w:lineRule="auto"/>
              <w:jc w:val="both"/>
              <w:rPr>
                <w:rFonts w:ascii="Times New Roman" w:eastAsia="Arial" w:hAnsi="Times New Roman" w:cs="Times New Roman"/>
                <w:b/>
                <w:sz w:val="24"/>
                <w:szCs w:val="24"/>
              </w:rPr>
            </w:pPr>
          </w:p>
          <w:p w:rsidR="00E944C2" w:rsidRDefault="00F7666C" w:rsidP="00E36C81">
            <w:pPr>
              <w:pStyle w:val="Normal1"/>
              <w:spacing w:before="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Područje istraživanja definisano je aktuelnim Prostorno-urbanističkim planom Glavnog grada Podgorice. Saobraćajna studija treba da obuhvati svih deset gradskih planskih zona.</w:t>
            </w:r>
          </w:p>
          <w:p w:rsidR="00E944C2" w:rsidRDefault="00F7666C" w:rsidP="00E36C81">
            <w:pPr>
              <w:pStyle w:val="Normal1"/>
              <w:spacing w:before="240" w:line="276" w:lineRule="auto"/>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Studija </w:t>
            </w:r>
            <w:r>
              <w:rPr>
                <w:rFonts w:ascii="Times New Roman" w:eastAsia="Arial" w:hAnsi="Times New Roman" w:cs="Times New Roman"/>
                <w:sz w:val="24"/>
                <w:szCs w:val="24"/>
              </w:rPr>
              <w:t>treba da sadrži sljedeće elemente:</w:t>
            </w:r>
          </w:p>
          <w:p w:rsidR="00E944C2" w:rsidRDefault="00F7666C" w:rsidP="00E36C81">
            <w:pPr>
              <w:pStyle w:val="Normal1"/>
              <w:numPr>
                <w:ilvl w:val="0"/>
                <w:numId w:val="28"/>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Cilj Studije;</w:t>
            </w:r>
          </w:p>
          <w:p w:rsidR="00E944C2" w:rsidRDefault="00F7666C" w:rsidP="00E36C81">
            <w:pPr>
              <w:pStyle w:val="Normal1"/>
              <w:numPr>
                <w:ilvl w:val="0"/>
                <w:numId w:val="28"/>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Analiza strateškog okvira i pravnih akata;</w:t>
            </w:r>
          </w:p>
          <w:p w:rsidR="00E944C2" w:rsidRDefault="00F7666C" w:rsidP="00E36C81">
            <w:pPr>
              <w:pStyle w:val="Normal1"/>
              <w:numPr>
                <w:ilvl w:val="0"/>
                <w:numId w:val="28"/>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Analiza važeće prostorno – planske dokumentacije;</w:t>
            </w:r>
          </w:p>
          <w:p w:rsidR="00E944C2" w:rsidRDefault="00F7666C" w:rsidP="00E36C81">
            <w:pPr>
              <w:pStyle w:val="Normal1"/>
              <w:numPr>
                <w:ilvl w:val="0"/>
                <w:numId w:val="28"/>
              </w:numPr>
              <w:spacing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Analiza sistema transportne ponude:</w:t>
            </w:r>
          </w:p>
          <w:p w:rsidR="00E944C2" w:rsidRDefault="00F7666C" w:rsidP="00E36C81">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Definisanje saobraćajnih zona i njihovih karakteristika;</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Utvrđivanje karakteristika putne i ulične mreže;</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Definisanja karakteristika privatnog i javnog gradskog prevoza;</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Evaluacija sistema parkiranja;</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Mapiranje i procjena kapaciteta mikromobilnosti (bicikli, trotineti);</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Analiza sistema javnog parkiranja;</w:t>
            </w:r>
          </w:p>
          <w:p w:rsidR="00E944C2" w:rsidRDefault="00F7666C">
            <w:pPr>
              <w:pStyle w:val="Normal1"/>
              <w:numPr>
                <w:ilvl w:val="0"/>
                <w:numId w:val="29"/>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Obilježja bezbjednosti saobraćaja;</w:t>
            </w:r>
          </w:p>
          <w:p w:rsidR="00E944C2" w:rsidRDefault="00F7666C">
            <w:pPr>
              <w:pStyle w:val="Normal1"/>
              <w:numPr>
                <w:ilvl w:val="0"/>
                <w:numId w:val="30"/>
              </w:numPr>
              <w:spacing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Saobraćajna istraživanja:</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Anketu u domaćinstvima o dnevnim lokalnim kretanjima;</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Anketu putnika, vozača teretnih vozila i brojanje saobraćaja na spoljnom kordonu;</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Anketu putnika na terminalima;</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Brojanje saobraćaja na svim značajnijim raskrsnicama na području grada.</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Istraživanje karakteristika pješačkih i biciklističkih tokova na najznačajnijim raskrsnicama;</w:t>
            </w:r>
          </w:p>
          <w:p w:rsidR="00E944C2" w:rsidRDefault="00F7666C">
            <w:pPr>
              <w:pStyle w:val="Normal1"/>
              <w:numPr>
                <w:ilvl w:val="2"/>
                <w:numId w:val="31"/>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Snimanje parametara saobraćajnog toka na uličnoj mreži (brzine);</w:t>
            </w:r>
          </w:p>
          <w:p w:rsidR="00E944C2" w:rsidRDefault="00F7666C">
            <w:pPr>
              <w:pStyle w:val="Normal1"/>
              <w:numPr>
                <w:ilvl w:val="0"/>
                <w:numId w:val="32"/>
              </w:numPr>
              <w:spacing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Prognoza saobraćajne potražnje (izrada transportnog modela);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Razvoj modela nastajanja putovanja;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Razvoj modela prostorne raspodjele putovanja;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Razvoj modela vidovne raspodjele putovanja;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Razvoj modela raspodjele tokova na mrežu saobraćajnica;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Analiza varijantnih rješenja;</w:t>
            </w:r>
          </w:p>
          <w:p w:rsidR="00E944C2" w:rsidRDefault="00F7666C">
            <w:pPr>
              <w:pStyle w:val="Normal1"/>
              <w:numPr>
                <w:ilvl w:val="2"/>
                <w:numId w:val="33"/>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§Kreiranje geobaze podataka (.shp format).</w:t>
            </w:r>
          </w:p>
          <w:p w:rsidR="00E944C2" w:rsidRDefault="00F7666C">
            <w:pPr>
              <w:pStyle w:val="Normal1"/>
              <w:numPr>
                <w:ilvl w:val="0"/>
                <w:numId w:val="34"/>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Definisanje strateških ciljeva budućeg razvoja saobraćaja.</w:t>
            </w:r>
          </w:p>
          <w:p w:rsidR="00E944C2" w:rsidRDefault="00F7666C">
            <w:pPr>
              <w:pStyle w:val="Normal1"/>
              <w:numPr>
                <w:ilvl w:val="0"/>
                <w:numId w:val="34"/>
              </w:numPr>
              <w:spacing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Procjena institucionalnih i infrastrukturnih kapaciteta za efikasno i održivo planiranje i kontrolu saobraćajnog sistema.</w:t>
            </w:r>
          </w:p>
          <w:p w:rsidR="00E944C2" w:rsidRDefault="00F7666C">
            <w:pPr>
              <w:pStyle w:val="Normal1"/>
              <w:numPr>
                <w:ilvl w:val="0"/>
                <w:numId w:val="34"/>
              </w:numPr>
              <w:spacing w:after="24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Zaključci i preporuke za na razmatranja.</w:t>
            </w:r>
          </w:p>
          <w:p w:rsidR="00E944C2" w:rsidRPr="007F5DDB" w:rsidRDefault="00F7666C">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Studija bike sharing treba da obuhvati planiranje novih biciklističkih koridora (puteve, staze i trake) koje povezuju ključne gradske tačke (škole, poslovne zone, parkove), uz integraciju postojeće mreže javnog saobraćaja. Planiranje stanica za čuvanje bicikala koje koriste solarnu energiju za samoodrživost. Stanice bi bile modularne, brzo postavljive bez potrebe za opsežnim građevinskim radovima i prilagođene i za standardna i za električna </w:t>
            </w:r>
            <w:r w:rsidRPr="007F5DDB">
              <w:rPr>
                <w:rFonts w:ascii="Times New Roman" w:eastAsia="Arial" w:hAnsi="Times New Roman" w:cs="Times New Roman"/>
                <w:sz w:val="24"/>
                <w:szCs w:val="24"/>
              </w:rPr>
              <w:t>bicikla.</w:t>
            </w:r>
          </w:p>
          <w:p w:rsidR="00E944C2" w:rsidRPr="007F5DDB" w:rsidRDefault="00F7666C">
            <w:pPr>
              <w:pStyle w:val="Normal1"/>
              <w:spacing w:before="240" w:line="276" w:lineRule="auto"/>
              <w:jc w:val="both"/>
              <w:rPr>
                <w:rFonts w:ascii="Times New Roman" w:eastAsia="Arial" w:hAnsi="Times New Roman" w:cs="Times New Roman"/>
                <w:sz w:val="24"/>
                <w:szCs w:val="24"/>
              </w:rPr>
            </w:pPr>
            <w:r w:rsidRPr="007F5DDB">
              <w:rPr>
                <w:rFonts w:ascii="Times New Roman" w:eastAsia="Arial" w:hAnsi="Times New Roman" w:cs="Times New Roman"/>
                <w:b/>
                <w:sz w:val="24"/>
                <w:szCs w:val="24"/>
              </w:rPr>
              <w:t>Vodeći partner/Nosilac projekta:</w:t>
            </w:r>
            <w:r w:rsidRPr="007F5DDB">
              <w:rPr>
                <w:rFonts w:ascii="Times New Roman" w:eastAsia="Arial" w:hAnsi="Times New Roman" w:cs="Times New Roman"/>
                <w:sz w:val="24"/>
                <w:szCs w:val="24"/>
              </w:rPr>
              <w:t xml:space="preserve"> Sekretarijat za saobraćaj/odabrani ponuđač</w:t>
            </w:r>
          </w:p>
          <w:p w:rsidR="00E944C2" w:rsidRPr="007F5DDB" w:rsidRDefault="00F7666C">
            <w:pPr>
              <w:pStyle w:val="Normal1"/>
              <w:spacing w:before="240" w:after="0" w:line="276" w:lineRule="auto"/>
              <w:jc w:val="both"/>
              <w:rPr>
                <w:rFonts w:ascii="Times New Roman" w:eastAsia="Arial" w:hAnsi="Times New Roman" w:cs="Times New Roman"/>
                <w:sz w:val="24"/>
                <w:szCs w:val="24"/>
              </w:rPr>
            </w:pPr>
            <w:r w:rsidRPr="007F5DDB">
              <w:rPr>
                <w:rFonts w:ascii="Times New Roman" w:eastAsia="Arial" w:hAnsi="Times New Roman" w:cs="Times New Roman"/>
                <w:b/>
                <w:sz w:val="24"/>
                <w:szCs w:val="24"/>
              </w:rPr>
              <w:t>Subjekti uključeni u implementaciju:</w:t>
            </w:r>
            <w:r w:rsidRPr="007F5DDB">
              <w:rPr>
                <w:rFonts w:ascii="Times New Roman" w:eastAsia="Arial" w:hAnsi="Times New Roman" w:cs="Times New Roman"/>
                <w:sz w:val="24"/>
                <w:szCs w:val="24"/>
              </w:rPr>
              <w:t xml:space="preserve"> /</w:t>
            </w:r>
          </w:p>
          <w:p w:rsidR="00E944C2" w:rsidRPr="007F5DDB" w:rsidRDefault="00F7666C">
            <w:pPr>
              <w:pStyle w:val="Normal1"/>
              <w:spacing w:before="240" w:after="0" w:line="276" w:lineRule="auto"/>
              <w:jc w:val="both"/>
              <w:rPr>
                <w:rFonts w:ascii="Times New Roman" w:eastAsia="Arial" w:hAnsi="Times New Roman" w:cs="Times New Roman"/>
                <w:sz w:val="24"/>
                <w:szCs w:val="24"/>
              </w:rPr>
            </w:pPr>
            <w:r w:rsidRPr="007F5DDB">
              <w:rPr>
                <w:rFonts w:ascii="Times New Roman" w:eastAsia="Arial" w:hAnsi="Times New Roman" w:cs="Times New Roman"/>
                <w:b/>
                <w:sz w:val="24"/>
                <w:szCs w:val="24"/>
              </w:rPr>
              <w:t>Status imovinsko pravnih odnosa:/</w:t>
            </w:r>
          </w:p>
          <w:p w:rsidR="00E944C2" w:rsidRDefault="00F7666C">
            <w:pPr>
              <w:pStyle w:val="Normal1"/>
              <w:spacing w:before="240" w:after="0" w:line="276" w:lineRule="auto"/>
              <w:jc w:val="both"/>
              <w:rPr>
                <w:rFonts w:ascii="Arial" w:eastAsia="Arial" w:hAnsi="Arial" w:cs="Arial"/>
                <w:b/>
                <w:sz w:val="20"/>
                <w:szCs w:val="20"/>
              </w:rPr>
            </w:pPr>
            <w:r w:rsidRPr="007F5DDB">
              <w:rPr>
                <w:rFonts w:ascii="Times New Roman" w:eastAsia="Arial" w:hAnsi="Times New Roman" w:cs="Times New Roman"/>
                <w:b/>
                <w:sz w:val="24"/>
                <w:szCs w:val="24"/>
              </w:rPr>
              <w:t>Trenutni status:</w:t>
            </w: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BUDŽET I IZVOR FINANSIRANJA</w:t>
            </w:r>
          </w:p>
        </w:tc>
      </w:tr>
      <w:tr w:rsidR="00E944C2">
        <w:trPr>
          <w:cantSplit/>
          <w:trHeight w:val="435"/>
          <w:tblHeader/>
        </w:trPr>
        <w:tc>
          <w:tcPr>
            <w:tcW w:w="345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E36C81">
            <w:pPr>
              <w:pStyle w:val="Normal1"/>
              <w:shd w:val="clear" w:color="auto" w:fill="FFFFFF"/>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Budžet Glavnog grada – 650.000.00€</w:t>
            </w:r>
          </w:p>
        </w:tc>
        <w:tc>
          <w:tcPr>
            <w:tcW w:w="210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2025</w:t>
            </w:r>
          </w:p>
        </w:tc>
        <w:tc>
          <w:tcPr>
            <w:tcW w:w="201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2026</w:t>
            </w:r>
          </w:p>
        </w:tc>
        <w:tc>
          <w:tcPr>
            <w:tcW w:w="126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720"/>
          <w:tblHeader/>
        </w:trPr>
        <w:tc>
          <w:tcPr>
            <w:tcW w:w="345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210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201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126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pPr>
              <w:pStyle w:val="Normal1"/>
              <w:spacing w:line="360" w:lineRule="auto"/>
              <w:jc w:val="both"/>
              <w:rPr>
                <w:rFonts w:ascii="Times New Roman" w:eastAsia="Times New Roman" w:hAnsi="Times New Roman" w:cs="Times New Roman"/>
                <w:sz w:val="24"/>
                <w:szCs w:val="24"/>
              </w:rPr>
            </w:pPr>
          </w:p>
        </w:tc>
      </w:tr>
      <w:tr w:rsidR="00E944C2">
        <w:trPr>
          <w:cantSplit/>
          <w:trHeight w:val="855"/>
          <w:tblHeader/>
        </w:trPr>
        <w:tc>
          <w:tcPr>
            <w:tcW w:w="345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AKTIVNOSTI</w:t>
            </w:r>
          </w:p>
        </w:tc>
        <w:tc>
          <w:tcPr>
            <w:tcW w:w="210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Odgovorna osoba</w:t>
            </w:r>
          </w:p>
        </w:tc>
        <w:tc>
          <w:tcPr>
            <w:tcW w:w="201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Datum početka</w:t>
            </w:r>
          </w:p>
        </w:tc>
        <w:tc>
          <w:tcPr>
            <w:tcW w:w="126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645"/>
          <w:tblHeader/>
        </w:trPr>
        <w:tc>
          <w:tcPr>
            <w:tcW w:w="345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Sprovođenje aktivnosti u vezi sa  izradom tehničke dokumentacije</w:t>
            </w:r>
          </w:p>
        </w:tc>
        <w:tc>
          <w:tcPr>
            <w:tcW w:w="210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Sekretarijat za saobraćaj</w:t>
            </w:r>
          </w:p>
        </w:tc>
        <w:tc>
          <w:tcPr>
            <w:tcW w:w="201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 xml:space="preserve"> Septembar 2025. godine</w:t>
            </w:r>
          </w:p>
        </w:tc>
        <w:tc>
          <w:tcPr>
            <w:tcW w:w="12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570"/>
          <w:tblHeader/>
        </w:trPr>
        <w:tc>
          <w:tcPr>
            <w:tcW w:w="345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210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201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12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bl>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tbl>
      <w:tblPr>
        <w:tblStyle w:val="29"/>
        <w:tblW w:w="8880" w:type="dxa"/>
        <w:tblInd w:w="20" w:type="dxa"/>
        <w:tblLayout w:type="fixed"/>
        <w:tblLook w:val="04A0"/>
      </w:tblPr>
      <w:tblGrid>
        <w:gridCol w:w="3578"/>
        <w:gridCol w:w="2052"/>
        <w:gridCol w:w="1962"/>
        <w:gridCol w:w="1228"/>
        <w:gridCol w:w="60"/>
      </w:tblGrid>
      <w:tr w:rsidR="00E944C2">
        <w:trPr>
          <w:cantSplit/>
          <w:trHeight w:val="570"/>
          <w:tblHeader/>
        </w:trPr>
        <w:tc>
          <w:tcPr>
            <w:tcW w:w="8880"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b/>
                <w:color w:val="FFFFFF"/>
                <w:sz w:val="24"/>
                <w:szCs w:val="24"/>
              </w:rPr>
              <w:t xml:space="preserve">SPECIFIČNI CILJ I </w:t>
            </w:r>
          </w:p>
        </w:tc>
      </w:tr>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PROJEKAT BROJ 23 - </w:t>
            </w:r>
            <w:r>
              <w:rPr>
                <w:rFonts w:ascii="Times New Roman" w:eastAsia="Arial" w:hAnsi="Times New Roman" w:cs="Times New Roman"/>
                <w:sz w:val="24"/>
                <w:szCs w:val="24"/>
              </w:rPr>
              <w:t>IZRADA BAZE PODATAKA PUTNE INFRASTRUKTURE I SPROVOĐENJE POSTUPKA PRIKUPLJANJA I ANALIZE PODATAKA</w:t>
            </w:r>
          </w:p>
        </w:tc>
      </w:tr>
      <w:tr w:rsidR="00E944C2">
        <w:trPr>
          <w:cantSplit/>
          <w:trHeight w:val="918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b/>
                <w:color w:val="FFFFFF"/>
                <w:sz w:val="24"/>
                <w:szCs w:val="24"/>
              </w:rPr>
              <w:t xml:space="preserve">KLJUČNI CILJ I IZLAZNI INDIKATORI: </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Izrada Baze podataka putne infrastrukture Glavnog Grada predstavlja usklađivanje  sa ključnim strateškim dokumentima Crne Gore u oblasti saobraćaja, digitalizacije i bezbjednosti.</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Projekat direktno doprinosi sprovođenju Strategije poboljšanja bezbjednosti drumskog saobraćaja 2024–2030, posebno mjerama koje se odnose na mapiranje rizika, identifikaciju opasnih mjesta i razvoj politika zasnovanih na podacima.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Rješenje je takođe u skladu sa Strategijom razvoja saobraćaja 2019–2035,  koja predviđa digitalnu integraciju, modernizaciju infrastrukture i uvođenje inteligentnih transportnih sistema kao osnove za efikasno i bezbjedno upravljanje saobraćajem.</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Projekat doprinosi i sprovođenju ciljeva Programa razvoja i uvođenja ITS sistema 2022–2026, posebno oblasti „Optimalno korišćenje informacija o putevima, saobraćaju i putovanjima“, kroz uspostavljanje sistema za tačne, ažurne i digitalno dostupne podatke o putnoj mreži i saobraćaju te njihovu elektronsku razmjenu između nadležnih organa i pružalaca usluga.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Projekat je usklađen i sa Strategijom digitalne transformacije Crne Gore 2022–2026, koja sektor saobraćaja prepoznaje kao dio kritične infrastrukture, naglašavajući potrebu za sigurnim, interoperabilnim i održivim digitalnim sistemima.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Dugoročno, ovakav sistem bi omogućio održivo, prilagodljivo i upravljanje saobraćajem zasnovano na podacima, koje doprinosi povećanju bezbjednosti saobraćaja, smanjenju troškova i efikasnijem planiranju javnih politika.</w:t>
            </w:r>
          </w:p>
          <w:p w:rsidR="00E944C2" w:rsidRDefault="00E944C2" w:rsidP="00E36C81">
            <w:pPr>
              <w:pStyle w:val="Normal1"/>
              <w:spacing w:before="240" w:after="0" w:line="276" w:lineRule="auto"/>
              <w:jc w:val="both"/>
              <w:rPr>
                <w:rFonts w:ascii="Times New Roman" w:eastAsia="Arial" w:hAnsi="Times New Roman" w:cs="Times New Roman"/>
                <w:sz w:val="24"/>
                <w:szCs w:val="24"/>
              </w:rPr>
            </w:pPr>
          </w:p>
        </w:tc>
      </w:tr>
      <w:tr w:rsidR="00E944C2">
        <w:trPr>
          <w:cantSplit/>
          <w:trHeight w:val="1246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 xml:space="preserve">Opis projekta: </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Željeni ishod ovog rješenja je uspostavljanje jedinstvene digitalne platforme koja omogućava integrisano, automatizovano i transparentno upravljanje podacima o putnoj infrastrukturi u Glavnom gradu. Implementacijom platforme unaprijedila bi se efikasnost i koordinacija između svih institucija, kroz automatsku razmjenu podataka i standardizovane procese prikupljanja, validacije i analize informacija.</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Platforma bi omogućila razvoj politika zasnovanih na relevantnim podacima o putevima, putnim objektima, saobraćajnoj signalizaciji i opremi puta, kroz primjenu naprednih analitičkih alata, statističkih metoda i AI modela za prepoznavanje visokorizičnih lokacija na putevima. Na taj način, nadležni organi bi mogli donositi objektivne, prioritetno usmjerene odluke, zasnovane na pouzdanim podacima, čime bi se povećala bezbjednost saobraćaja, smanjio broj nezgoda i efikasnije usmjeravala ulaganja u infrastrukturu. Građanima bi bila omogućena veća dostupnost informacija - putem javnog interfejsa mogli bi u realnom vremenu pristupiti podacima o stanju puteva, radovima, obustavama i uslovima vožnje.</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Na taj način bi se povećalo povjerenje u rad institucija, poboljšala informisanost i doprinijelo većem zadovoljstvu korisnika. Sa aspekta javne uprave, digitalna platforma bi doprinijela smanjenju administrativnih troškova, racionalnijem korišćenju resursa i smanjenju grešaka koje proizilaze iz ručnog unosa podataka.</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Kao jedna od najzahtjevnijih (vremenskih i finansijskih) stavki jeste prikupljanje i obrada podataka o putnoj infrastrukturi (tehnički podaci o putevima, mostovima, saobraćajnoj signalizaciji i opremi puta). U vezi sa ovim aktivnostima, Sekretarijat planira nabavku vozila sa potrebnom hardverskom i softverskom opremom, čime bi samostalno izvršio snimanje postojeće mrežne puteve i unos podataka u Bazu. Takođe, ovo vozilo bi se moglo koristiti i za druge aktivnosti koje za cilj imaju unapređenje stanja saobraćaja na teritoriji Glavnog grada (evidentiranje i sankcionisanje nepropisno zaustavljenih i parkiranih vozila).</w:t>
            </w:r>
          </w:p>
          <w:p w:rsidR="00E944C2" w:rsidRDefault="00F7666C" w:rsidP="00E36C81">
            <w:pPr>
              <w:pStyle w:val="Normal1"/>
              <w:spacing w:before="24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Vodeći partner/Nosilac projekta:</w:t>
            </w:r>
            <w:r>
              <w:rPr>
                <w:rFonts w:ascii="Times New Roman" w:eastAsia="Arial" w:hAnsi="Times New Roman" w:cs="Times New Roman"/>
                <w:sz w:val="24"/>
                <w:szCs w:val="20"/>
              </w:rPr>
              <w:t xml:space="preserve"> Sekretarijat za saobraćaj/odabrani ponuđač</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Subjekti uključeni u implementaciju:</w:t>
            </w:r>
            <w:r>
              <w:rPr>
                <w:rFonts w:ascii="Times New Roman" w:eastAsia="Arial" w:hAnsi="Times New Roman" w:cs="Times New Roman"/>
                <w:sz w:val="24"/>
                <w:szCs w:val="20"/>
              </w:rPr>
              <w:t xml:space="preserve"> /</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Status imovinsko pravnih odnosa:/</w:t>
            </w:r>
          </w:p>
          <w:p w:rsidR="00E944C2" w:rsidRDefault="00F7666C">
            <w:pPr>
              <w:pStyle w:val="Normal1"/>
              <w:spacing w:before="240" w:after="0" w:line="276" w:lineRule="auto"/>
              <w:jc w:val="both"/>
              <w:rPr>
                <w:rFonts w:ascii="Arial" w:eastAsia="Arial" w:hAnsi="Arial" w:cs="Arial"/>
                <w:b/>
                <w:sz w:val="20"/>
                <w:szCs w:val="20"/>
              </w:rPr>
            </w:pPr>
            <w:r>
              <w:rPr>
                <w:rFonts w:ascii="Times New Roman" w:eastAsia="Arial" w:hAnsi="Times New Roman" w:cs="Times New Roman"/>
                <w:b/>
                <w:sz w:val="24"/>
                <w:szCs w:val="20"/>
              </w:rPr>
              <w:t>Trenutni status:</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BUDŽET I IZVOR FINANSIRANJA</w:t>
            </w:r>
          </w:p>
        </w:tc>
      </w:tr>
      <w:tr w:rsidR="00E944C2">
        <w:trPr>
          <w:cantSplit/>
          <w:trHeight w:val="435"/>
          <w:tblHeader/>
        </w:trPr>
        <w:tc>
          <w:tcPr>
            <w:tcW w:w="358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E36C81">
            <w:pPr>
              <w:pStyle w:val="Normal1"/>
              <w:shd w:val="clear" w:color="auto" w:fill="FFFFFF"/>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-Budžet Glavnog grada 80.000,00E</w:t>
            </w:r>
          </w:p>
        </w:tc>
        <w:tc>
          <w:tcPr>
            <w:tcW w:w="20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2025</w:t>
            </w:r>
          </w:p>
        </w:tc>
        <w:tc>
          <w:tcPr>
            <w:tcW w:w="19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Arial" w:eastAsia="Arial" w:hAnsi="Arial" w:cs="Arial"/>
                <w:b/>
                <w:sz w:val="20"/>
                <w:szCs w:val="20"/>
              </w:rPr>
            </w:pPr>
            <w:r>
              <w:rPr>
                <w:rFonts w:ascii="Arial" w:eastAsia="Arial" w:hAnsi="Arial" w:cs="Arial"/>
                <w:b/>
                <w:sz w:val="20"/>
                <w:szCs w:val="20"/>
              </w:rPr>
              <w:t>2026</w:t>
            </w:r>
          </w:p>
        </w:tc>
        <w:tc>
          <w:tcPr>
            <w:tcW w:w="123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Arial" w:eastAsia="Arial" w:hAnsi="Arial" w:cs="Arial"/>
                <w:b/>
                <w:sz w:val="20"/>
                <w:szCs w:val="20"/>
              </w:rPr>
            </w:pPr>
            <w:r>
              <w:rPr>
                <w:rFonts w:ascii="Arial" w:eastAsia="Arial" w:hAnsi="Arial" w:cs="Arial"/>
                <w:b/>
                <w:sz w:val="20"/>
                <w:szCs w:val="20"/>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720"/>
          <w:tblHeader/>
        </w:trPr>
        <w:tc>
          <w:tcPr>
            <w:tcW w:w="358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20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9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Arial" w:eastAsia="Arial" w:hAnsi="Arial" w:cs="Arial"/>
                <w:sz w:val="20"/>
                <w:szCs w:val="20"/>
              </w:rPr>
            </w:pPr>
            <w:r>
              <w:rPr>
                <w:rFonts w:ascii="Arial" w:eastAsia="Arial" w:hAnsi="Arial" w:cs="Arial"/>
                <w:sz w:val="20"/>
                <w:szCs w:val="20"/>
              </w:rPr>
              <w:t>/</w:t>
            </w:r>
          </w:p>
        </w:tc>
        <w:tc>
          <w:tcPr>
            <w:tcW w:w="123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Arial" w:eastAsia="Arial" w:hAnsi="Arial" w:cs="Arial"/>
                <w:sz w:val="20"/>
                <w:szCs w:val="20"/>
              </w:rPr>
            </w:pPr>
            <w:r>
              <w:rPr>
                <w:rFonts w:ascii="Arial" w:eastAsia="Arial" w:hAnsi="Arial" w:cs="Arial"/>
                <w:sz w:val="20"/>
                <w:szCs w:val="20"/>
              </w:rPr>
              <w:t>/</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pPr>
              <w:pStyle w:val="Normal1"/>
              <w:spacing w:line="360" w:lineRule="auto"/>
              <w:jc w:val="both"/>
              <w:rPr>
                <w:rFonts w:ascii="Times New Roman" w:eastAsia="Times New Roman" w:hAnsi="Times New Roman" w:cs="Times New Roman"/>
                <w:sz w:val="24"/>
                <w:szCs w:val="24"/>
              </w:rPr>
            </w:pPr>
          </w:p>
        </w:tc>
      </w:tr>
      <w:tr w:rsidR="00E944C2">
        <w:trPr>
          <w:cantSplit/>
          <w:trHeight w:val="855"/>
          <w:tblHeader/>
        </w:trPr>
        <w:tc>
          <w:tcPr>
            <w:tcW w:w="358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AKTIVNOSTI</w:t>
            </w:r>
          </w:p>
        </w:tc>
        <w:tc>
          <w:tcPr>
            <w:tcW w:w="205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Odgovorna osoba</w:t>
            </w:r>
          </w:p>
        </w:tc>
        <w:tc>
          <w:tcPr>
            <w:tcW w:w="196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Arial" w:eastAsia="Arial" w:hAnsi="Arial" w:cs="Arial"/>
                <w:b/>
                <w:color w:val="FFFFFF"/>
                <w:sz w:val="20"/>
                <w:szCs w:val="20"/>
              </w:rPr>
            </w:pPr>
            <w:r>
              <w:rPr>
                <w:rFonts w:ascii="Arial" w:eastAsia="Arial" w:hAnsi="Arial" w:cs="Arial"/>
                <w:b/>
                <w:color w:val="FFFFFF"/>
                <w:sz w:val="20"/>
                <w:szCs w:val="20"/>
              </w:rPr>
              <w:t>Datum početka</w:t>
            </w:r>
          </w:p>
        </w:tc>
        <w:tc>
          <w:tcPr>
            <w:tcW w:w="123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Arial" w:eastAsia="Arial" w:hAnsi="Arial" w:cs="Arial"/>
                <w:b/>
                <w:color w:val="FFFFFF"/>
                <w:sz w:val="20"/>
                <w:szCs w:val="20"/>
              </w:rPr>
            </w:pPr>
            <w:r>
              <w:rPr>
                <w:rFonts w:ascii="Arial" w:eastAsia="Arial" w:hAnsi="Arial" w:cs="Arial"/>
                <w:b/>
                <w:color w:val="FFFFFF"/>
                <w:sz w:val="20"/>
                <w:szCs w:val="20"/>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645"/>
          <w:tblHeader/>
        </w:trPr>
        <w:tc>
          <w:tcPr>
            <w:tcW w:w="358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Sprovođenje aktivnosti u vezi izrade tehničke dokumentacije</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Sekretarijat za saobraćaj</w:t>
            </w:r>
          </w:p>
        </w:tc>
        <w:tc>
          <w:tcPr>
            <w:tcW w:w="196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Arial" w:eastAsia="Arial" w:hAnsi="Arial" w:cs="Arial"/>
                <w:sz w:val="20"/>
                <w:szCs w:val="20"/>
              </w:rPr>
            </w:pPr>
            <w:r>
              <w:rPr>
                <w:rFonts w:ascii="Arial" w:eastAsia="Arial" w:hAnsi="Arial" w:cs="Arial"/>
                <w:sz w:val="20"/>
                <w:szCs w:val="20"/>
              </w:rPr>
              <w:t xml:space="preserve"> Septembar 2025. godine</w:t>
            </w:r>
          </w:p>
        </w:tc>
        <w:tc>
          <w:tcPr>
            <w:tcW w:w="12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570"/>
          <w:tblHeader/>
        </w:trPr>
        <w:tc>
          <w:tcPr>
            <w:tcW w:w="358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196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12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118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Dodatne napomene:</w:t>
            </w:r>
          </w:p>
          <w:p w:rsidR="00E944C2" w:rsidRDefault="00E944C2" w:rsidP="00E36C81">
            <w:pPr>
              <w:pStyle w:val="Normal1"/>
              <w:spacing w:before="240" w:after="0" w:line="276" w:lineRule="auto"/>
              <w:jc w:val="both"/>
              <w:rPr>
                <w:rFonts w:ascii="Times New Roman" w:eastAsia="Arial" w:hAnsi="Times New Roman" w:cs="Times New Roman"/>
                <w:sz w:val="24"/>
                <w:szCs w:val="20"/>
              </w:rPr>
            </w:pPr>
          </w:p>
          <w:p w:rsidR="00E944C2" w:rsidRDefault="00E944C2" w:rsidP="00E36C81">
            <w:pPr>
              <w:pStyle w:val="Normal1"/>
              <w:spacing w:before="240" w:after="0" w:line="276" w:lineRule="auto"/>
              <w:jc w:val="both"/>
              <w:rPr>
                <w:rFonts w:ascii="Times New Roman" w:eastAsia="Arial" w:hAnsi="Times New Roman" w:cs="Times New Roman"/>
                <w:sz w:val="24"/>
                <w:szCs w:val="20"/>
              </w:rPr>
            </w:pPr>
          </w:p>
        </w:tc>
      </w:tr>
    </w:tbl>
    <w:p w:rsidR="00E944C2" w:rsidRDefault="00F7666C" w:rsidP="00E36C81">
      <w:pPr>
        <w:pStyle w:val="Normal1"/>
        <w:spacing w:before="240" w:after="240" w:line="36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F7666C" w:rsidP="00E36C81">
      <w:pPr>
        <w:pStyle w:val="Normal1"/>
        <w:spacing w:before="240" w:after="240" w:line="360" w:lineRule="auto"/>
        <w:jc w:val="both"/>
        <w:rPr>
          <w:rFonts w:ascii="Arial" w:eastAsia="Arial" w:hAnsi="Arial" w:cs="Arial"/>
          <w:sz w:val="20"/>
          <w:szCs w:val="20"/>
        </w:rPr>
      </w:pPr>
      <w:r>
        <w:rPr>
          <w:rFonts w:ascii="Arial" w:eastAsia="Arial" w:hAnsi="Arial" w:cs="Arial"/>
          <w:sz w:val="20"/>
          <w:szCs w:val="20"/>
        </w:rPr>
        <w:br/>
      </w:r>
    </w:p>
    <w:tbl>
      <w:tblPr>
        <w:tblStyle w:val="28"/>
        <w:tblW w:w="8880" w:type="dxa"/>
        <w:tblInd w:w="20" w:type="dxa"/>
        <w:tblLayout w:type="fixed"/>
        <w:tblLook w:val="04A0"/>
      </w:tblPr>
      <w:tblGrid>
        <w:gridCol w:w="4215"/>
        <w:gridCol w:w="1065"/>
        <w:gridCol w:w="1965"/>
        <w:gridCol w:w="1575"/>
        <w:gridCol w:w="60"/>
      </w:tblGrid>
      <w:tr w:rsidR="00E944C2">
        <w:trPr>
          <w:cantSplit/>
          <w:trHeight w:val="570"/>
          <w:tblHeader/>
        </w:trPr>
        <w:tc>
          <w:tcPr>
            <w:tcW w:w="8880"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sz w:val="24"/>
                <w:szCs w:val="24"/>
              </w:rPr>
              <w:br/>
            </w:r>
            <w:r>
              <w:rPr>
                <w:rFonts w:ascii="Times New Roman" w:eastAsia="Arial" w:hAnsi="Times New Roman" w:cs="Times New Roman"/>
                <w:b/>
                <w:color w:val="FFFFFF"/>
                <w:sz w:val="24"/>
                <w:szCs w:val="24"/>
              </w:rPr>
              <w:t xml:space="preserve"> SPECIFIČNI CILJ I </w:t>
            </w:r>
          </w:p>
        </w:tc>
      </w:tr>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b/>
                <w:sz w:val="24"/>
                <w:szCs w:val="24"/>
              </w:rPr>
              <w:t>PROJEKAT BROJ 24</w:t>
            </w:r>
            <w:r>
              <w:rPr>
                <w:rFonts w:ascii="Times New Roman" w:eastAsia="Arial" w:hAnsi="Times New Roman" w:cs="Times New Roman"/>
                <w:sz w:val="24"/>
                <w:szCs w:val="24"/>
              </w:rPr>
              <w:t xml:space="preserve"> - POBOLJŠANJE BEZBJEDNOSTI SAOBRAĆAJA</w:t>
            </w:r>
          </w:p>
        </w:tc>
      </w:tr>
      <w:tr w:rsidR="00E944C2">
        <w:trPr>
          <w:cantSplit/>
          <w:trHeight w:val="988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KLJUČNI CILJ I IZLAZNI INDIKATORI: </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Ključni ciljevi:</w:t>
            </w:r>
          </w:p>
          <w:p w:rsidR="00E944C2" w:rsidRDefault="00F7666C" w:rsidP="00E36C81">
            <w:pPr>
              <w:pStyle w:val="Normal1"/>
              <w:spacing w:before="240" w:after="0" w:line="276" w:lineRule="auto"/>
              <w:ind w:left="360"/>
              <w:jc w:val="both"/>
              <w:rPr>
                <w:rFonts w:ascii="Times New Roman" w:eastAsia="Arial" w:hAnsi="Times New Roman" w:cs="Times New Roman"/>
                <w:sz w:val="24"/>
                <w:szCs w:val="24"/>
              </w:rPr>
            </w:pPr>
            <w:r>
              <w:rPr>
                <w:rFonts w:ascii="Times New Roman" w:eastAsia="Cambria" w:hAnsi="Times New Roman" w:cs="Times New Roman"/>
                <w:sz w:val="24"/>
                <w:szCs w:val="24"/>
              </w:rPr>
              <w:t>-</w:t>
            </w:r>
            <w:r>
              <w:rPr>
                <w:rFonts w:ascii="Times New Roman" w:eastAsia="Arial" w:hAnsi="Times New Roman" w:cs="Times New Roman"/>
                <w:sz w:val="24"/>
                <w:szCs w:val="24"/>
              </w:rPr>
              <w:t>Izrada Strategije poboljšanja bezbjednosti drumskog saobracaja,</w:t>
            </w:r>
          </w:p>
          <w:p w:rsidR="00E944C2" w:rsidRDefault="00F7666C" w:rsidP="00E36C81">
            <w:pPr>
              <w:pStyle w:val="Normal1"/>
              <w:spacing w:before="240" w:after="0" w:line="276" w:lineRule="auto"/>
              <w:ind w:left="360"/>
              <w:jc w:val="both"/>
              <w:rPr>
                <w:rFonts w:ascii="Times New Roman" w:eastAsia="Arial" w:hAnsi="Times New Roman" w:cs="Times New Roman"/>
                <w:sz w:val="24"/>
                <w:szCs w:val="24"/>
              </w:rPr>
            </w:pPr>
            <w:r>
              <w:rPr>
                <w:rFonts w:ascii="Times New Roman" w:eastAsia="Cambria" w:hAnsi="Times New Roman" w:cs="Times New Roman"/>
                <w:sz w:val="24"/>
                <w:szCs w:val="24"/>
              </w:rPr>
              <w:t>-</w:t>
            </w:r>
            <w:r>
              <w:rPr>
                <w:rFonts w:ascii="Times New Roman" w:eastAsia="Arial" w:hAnsi="Times New Roman" w:cs="Times New Roman"/>
                <w:sz w:val="24"/>
                <w:szCs w:val="24"/>
              </w:rPr>
              <w:t>Izrada studija, tehnička dokumentacija i izvođenje radova za bezbjedne zone osnovnih škola, opasnih dionica puteve i opasnih raskrsnica (crnih tačaka),</w:t>
            </w:r>
          </w:p>
          <w:p w:rsidR="00E944C2" w:rsidRDefault="00F7666C" w:rsidP="00E36C81">
            <w:pPr>
              <w:pStyle w:val="Normal1"/>
              <w:spacing w:before="240" w:after="0" w:line="276" w:lineRule="auto"/>
              <w:ind w:left="360"/>
              <w:jc w:val="both"/>
              <w:rPr>
                <w:rFonts w:ascii="Times New Roman" w:eastAsia="Arial" w:hAnsi="Times New Roman" w:cs="Times New Roman"/>
                <w:sz w:val="24"/>
                <w:szCs w:val="24"/>
              </w:rPr>
            </w:pPr>
            <w:r>
              <w:rPr>
                <w:rFonts w:ascii="Times New Roman" w:eastAsia="Cambria" w:hAnsi="Times New Roman" w:cs="Times New Roman"/>
                <w:sz w:val="24"/>
                <w:szCs w:val="24"/>
              </w:rPr>
              <w:t>-</w:t>
            </w:r>
            <w:r>
              <w:rPr>
                <w:rFonts w:ascii="Times New Roman" w:eastAsia="Arial" w:hAnsi="Times New Roman" w:cs="Times New Roman"/>
                <w:sz w:val="24"/>
                <w:szCs w:val="24"/>
              </w:rPr>
              <w:t>Sprovođenje preventivnih edukativnih kampanja za sve učesnike u saobraćaju (kampanje za djecu predškolskog uzrasta, osnovnih i srednjih škola) kampanja bezbjedne voženje za motocikliste i mlade vozače i drugo).</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U skladu sa Strategijom poboljšanja bezbjednosti drumskog saobraćaja u Crnoj Gori od 2024.godine do 2030. godine, kao jedna od aktivnosti prepoznata je obaveza jedinica lokalne samouprave da izrade lokalne Studije poboljšanja bezbjednosti drumskog saobraćaja.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Na osnovu analize podataka o saobraćajnim nezgodama, izmjerenih indikatora bezbjednosti saobraćaja i analize stavova učesnika u saobraćaju, potrebno je izraditi Strategiju i dvogodišnji Akcioni plan sa jasno utvrđenim ciljevima i mjerama kako bi se sa nivoa Glavnog grada doprinjelo ostvarivanju državnih strateških ciljeva za smanjenje smrtno stradalih i teško povrijeđenih u saobraćajnim nezgodama za 50% do 2030. godine u odnosu na 2021. godinu i nula smrtno stradale djece u saobraćaju.</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Kao jednu od aktivnosti u cilju povećanja bezbjednosti saobraćaja, tj. ranjivih učesnika u saobraćaju neophodno je realizovati Projekat bezbjednih zona škola (izrada tehničke dokumentacije i izvođenje radova), Projekat opasnih dionica puta i opasnih raskrsnica, izraditi tehničku dokumentaciju i izvesti radove za eliminisanje opasnih dionica i opasnih raskrsnica (crnih tačaka).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Pored aktivnosti na putnoj infrastrukturi neophodno je sprovesti kampanje koje za cilj imaju preventivno djelovanje za sve učesnike u saobraćaju.</w:t>
            </w:r>
          </w:p>
          <w:p w:rsidR="00E944C2" w:rsidRDefault="00E944C2">
            <w:pPr>
              <w:pStyle w:val="Normal1"/>
              <w:spacing w:before="240" w:after="0" w:line="276" w:lineRule="auto"/>
              <w:jc w:val="both"/>
              <w:rPr>
                <w:rFonts w:ascii="Times New Roman" w:eastAsia="Arial" w:hAnsi="Times New Roman" w:cs="Times New Roman"/>
                <w:sz w:val="24"/>
                <w:szCs w:val="24"/>
              </w:rPr>
            </w:pPr>
          </w:p>
        </w:tc>
      </w:tr>
      <w:tr w:rsidR="00E944C2">
        <w:trPr>
          <w:cantSplit/>
          <w:trHeight w:val="1741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 xml:space="preserve">Opis projekta: </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Svjedoci smo da je stanje bezbjednosti saobraćaja na putevima u Crnoj Gori veoma loše i da se sa 75 smrtno stradalih u saobraćajnim nezgodama u 2024. godini Crna Gora nalazi u začelju država Evrope. Ove činjenice su više nego alarmantne i zahtijevaju ozbiljan i urgentan pristup svih nadležnih organa. U cilju postizanja razvoja i većeg standarda u svim oblastima, Crna Gora koristi i teži primjeniti iskustva zemalja koje su najnaprednije i u oblasti saobraćaja. S tim u vezi, Vlada Crne Gore je zaključkom br. 08-078/24-4042/2 od 23.07.2024. godine donijela Strategiju poboljšanja bezbjednosti u drumskom saobraćaju za period od 2024. do 2030. godine s Akcionim planom za period 2024-2025. godine, kojom je definisan glavni cilj, tačnije, smanjenje broja poginulih i teško povrijeđenih lica u saobraćajnim nezgodama za 50% do 2030. godine, u odnosu na 2021. godinu i bez poginule djece u saobraćaju.</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Kako bezbjednost saobraćaja zavisi od pet osnovnih stubova, odnosno od upravljanja bezbjednošću saobraćaja, bezbjednih puteva, bezbjednih vozila, bezbjednosti ranjivih učesnika u saobraćaju i vremena djelovanja nakon saobraćajnih nezgoda, da bi ostvarili ciljeve definisane Strategijom neophodno je unaprijediti svaku od navedenih oblasti pojedinačno.</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 obzirom na prethodno navedeno i uspostavljene trendove saobraćajnih nezgoda i posljedica saobraćajnih nezgoda na teritoriji Glavnog grada odnosno podatka da je u 2024. godini na teritoriji Podgorice evidentirano 2858 saobraćajnih nezgoda od ukupno 6649 nezgoda (29%), da je smrtno stradalo 17 od ukupno 75 lica (23%), kao i da je povrijeđeno 1242 lica od ukupno 3078 lica (40%), upućuje nas na neophodnost primjene određenih mjera i aktivnosti na lokalnom nivou, kako bi se stanje u ovoj oblasti poboljšalo.</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Kao primjer dobre prakse gradova država u regionu, a u skladu sa obavezama iz Akcionog plana Strategije, Glavni grad treba da uradi Strategiju poboljšanja bezbjednosti drumskog saobraćaja za teritoriju Glavnog grada, sa jasnim ciljevima, mjerama i aktinostima koje će doprinjeti poboljšanju stanja bezbjednosti saobraćaja.</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Pored izrade strateškog dokumenta potrebno je izraditi Studije, tehničku dokumentaciju i izvesti radove za bezbjedne zone škola, opasne dionice puteva i opasne raskrsnice (crne tačke).</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U saradnji sa nadležnim institucijama, naučno-obrazovnim institucijama i NVO sektorom, neophodno je planirati i u kontinuitetu sprovoditi preventivne edukativne kampanje za sve učesnike u saobraćaju (kampanje za djecu predškolskog uzrasta, osnovnih i srednjih škola) kampanje bezbjedne voženje za motocikliste i mlade vozače i drugo).</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U cilju unaprijeđenja znanja i vještina mladih vozača, koji po analizama saobraćajnih nezgoda čine i do 30% smrtno stradalih u saobraćajnim nezgodama, neophodno je izgraditi saobraćajni poligon koji bi kroz ugovorni odnos sa Glavnim gradom koristile auto-škole za obuku kandidata i polaganje vozačkih ispita, kao i za sprovođenje kampanja bezbjedne vožnje i poboljšanja vještina upravljanja vozilom. Pored toga, poligon bi se koristio i za edukaciju najmlađih i najranjivijih učesnika u saobraćaj odnosno djece, pješaka i biciklista.</w:t>
            </w:r>
          </w:p>
          <w:p w:rsidR="00E944C2" w:rsidRDefault="00F7666C" w:rsidP="00E36C81">
            <w:pPr>
              <w:pStyle w:val="Normal1"/>
              <w:spacing w:before="24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Vodeći partner/Nosilac projekta:</w:t>
            </w:r>
            <w:r>
              <w:rPr>
                <w:rFonts w:ascii="Times New Roman" w:eastAsia="Arial" w:hAnsi="Times New Roman" w:cs="Times New Roman"/>
                <w:sz w:val="24"/>
                <w:szCs w:val="20"/>
              </w:rPr>
              <w:t xml:space="preserve"> Sekretarijat za saobraćaj/odabrani ponuđač</w:t>
            </w:r>
          </w:p>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Subjekti uključeni u implementaciju:</w:t>
            </w:r>
            <w:r>
              <w:rPr>
                <w:rFonts w:ascii="Times New Roman" w:eastAsia="Arial" w:hAnsi="Times New Roman" w:cs="Times New Roman"/>
                <w:sz w:val="24"/>
                <w:szCs w:val="20"/>
              </w:rPr>
              <w:t xml:space="preserve"> /</w:t>
            </w:r>
          </w:p>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Status imovinsko pravnih odnosa:/</w:t>
            </w:r>
          </w:p>
          <w:p w:rsidR="00E944C2" w:rsidRPr="007F5DDB" w:rsidRDefault="00F7666C">
            <w:pPr>
              <w:pStyle w:val="Normal1"/>
              <w:spacing w:before="240" w:after="0" w:line="276" w:lineRule="auto"/>
              <w:jc w:val="both"/>
              <w:rPr>
                <w:rFonts w:ascii="Times New Roman" w:eastAsia="Arial" w:hAnsi="Times New Roman" w:cs="Times New Roman"/>
                <w:sz w:val="24"/>
                <w:szCs w:val="24"/>
              </w:rPr>
            </w:pPr>
            <w:r w:rsidRPr="007F5DDB">
              <w:rPr>
                <w:rFonts w:ascii="Times New Roman" w:eastAsia="Arial" w:hAnsi="Times New Roman" w:cs="Times New Roman"/>
                <w:b/>
                <w:sz w:val="24"/>
                <w:szCs w:val="24"/>
              </w:rPr>
              <w:t xml:space="preserve">Trenutni status: </w:t>
            </w:r>
            <w:r w:rsidRPr="007F5DDB">
              <w:rPr>
                <w:rFonts w:ascii="Times New Roman" w:eastAsia="Arial" w:hAnsi="Times New Roman" w:cs="Times New Roman"/>
                <w:sz w:val="24"/>
                <w:szCs w:val="24"/>
              </w:rPr>
              <w:t>/</w:t>
            </w:r>
          </w:p>
          <w:p w:rsidR="00E944C2" w:rsidRDefault="00E944C2">
            <w:pPr>
              <w:pStyle w:val="Normal1"/>
              <w:spacing w:before="240" w:after="0" w:line="276" w:lineRule="auto"/>
              <w:jc w:val="both"/>
              <w:rPr>
                <w:rFonts w:ascii="Arial" w:eastAsia="Arial" w:hAnsi="Arial" w:cs="Arial"/>
                <w:sz w:val="20"/>
                <w:szCs w:val="20"/>
              </w:rPr>
            </w:pP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BUDŽET I IZVOR FINANSIRANJA</w:t>
            </w:r>
          </w:p>
        </w:tc>
      </w:tr>
      <w:tr w:rsidR="00E944C2">
        <w:trPr>
          <w:cantSplit/>
          <w:trHeight w:val="435"/>
          <w:tblHeader/>
        </w:trPr>
        <w:tc>
          <w:tcPr>
            <w:tcW w:w="421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E36C81">
            <w:pPr>
              <w:pStyle w:val="Normal1"/>
              <w:shd w:val="clear" w:color="auto" w:fill="FFFFFF"/>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Budžet Glavnog grada 1.100.000,00€</w:t>
            </w:r>
          </w:p>
        </w:tc>
        <w:tc>
          <w:tcPr>
            <w:tcW w:w="10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2025</w:t>
            </w:r>
          </w:p>
        </w:tc>
        <w:tc>
          <w:tcPr>
            <w:tcW w:w="19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2026</w:t>
            </w:r>
          </w:p>
        </w:tc>
        <w:tc>
          <w:tcPr>
            <w:tcW w:w="157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585"/>
          <w:tblHeader/>
        </w:trPr>
        <w:tc>
          <w:tcPr>
            <w:tcW w:w="421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10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pPr>
              <w:pStyle w:val="Normal1"/>
              <w:spacing w:before="240" w:after="0" w:line="276" w:lineRule="auto"/>
              <w:jc w:val="both"/>
              <w:rPr>
                <w:rFonts w:ascii="Times New Roman" w:eastAsia="Arial" w:hAnsi="Times New Roman" w:cs="Times New Roman"/>
                <w:sz w:val="24"/>
                <w:szCs w:val="20"/>
              </w:rPr>
            </w:pPr>
          </w:p>
        </w:tc>
        <w:tc>
          <w:tcPr>
            <w:tcW w:w="196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157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pPr>
              <w:pStyle w:val="Normal1"/>
              <w:spacing w:line="360" w:lineRule="auto"/>
              <w:jc w:val="both"/>
              <w:rPr>
                <w:rFonts w:ascii="Times New Roman" w:eastAsia="Times New Roman" w:hAnsi="Times New Roman" w:cs="Times New Roman"/>
                <w:sz w:val="24"/>
                <w:szCs w:val="24"/>
              </w:rPr>
            </w:pPr>
          </w:p>
        </w:tc>
      </w:tr>
      <w:tr w:rsidR="00E944C2">
        <w:trPr>
          <w:cantSplit/>
          <w:trHeight w:val="855"/>
          <w:tblHeader/>
        </w:trPr>
        <w:tc>
          <w:tcPr>
            <w:tcW w:w="421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AKTIVNOSTI</w:t>
            </w:r>
          </w:p>
        </w:tc>
        <w:tc>
          <w:tcPr>
            <w:tcW w:w="106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Arial" w:hAnsi="Times New Roman" w:cs="Times New Roman"/>
                <w:sz w:val="24"/>
                <w:szCs w:val="20"/>
              </w:rPr>
            </w:pPr>
          </w:p>
        </w:tc>
        <w:tc>
          <w:tcPr>
            <w:tcW w:w="196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Datum početka</w:t>
            </w:r>
          </w:p>
        </w:tc>
        <w:tc>
          <w:tcPr>
            <w:tcW w:w="157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bl>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tbl>
      <w:tblPr>
        <w:tblStyle w:val="27"/>
        <w:tblW w:w="8880" w:type="dxa"/>
        <w:tblInd w:w="20" w:type="dxa"/>
        <w:tblLayout w:type="fixed"/>
        <w:tblLook w:val="04A0"/>
      </w:tblPr>
      <w:tblGrid>
        <w:gridCol w:w="4080"/>
        <w:gridCol w:w="1095"/>
        <w:gridCol w:w="2025"/>
        <w:gridCol w:w="1620"/>
        <w:gridCol w:w="60"/>
      </w:tblGrid>
      <w:tr w:rsidR="00E944C2">
        <w:trPr>
          <w:cantSplit/>
          <w:trHeight w:val="570"/>
          <w:tblHeader/>
        </w:trPr>
        <w:tc>
          <w:tcPr>
            <w:tcW w:w="8880"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pPr>
              <w:pStyle w:val="Normal1"/>
              <w:spacing w:before="240" w:after="0" w:line="276" w:lineRule="auto"/>
              <w:jc w:val="both"/>
              <w:rPr>
                <w:rFonts w:ascii="Times New Roman" w:eastAsia="Arial" w:hAnsi="Times New Roman" w:cs="Times New Roman"/>
                <w:b/>
                <w:color w:val="FFFFFF"/>
                <w:sz w:val="24"/>
                <w:szCs w:val="24"/>
              </w:rPr>
            </w:pPr>
            <w:r>
              <w:rPr>
                <w:rFonts w:ascii="Times New Roman" w:eastAsia="Arial" w:hAnsi="Times New Roman" w:cs="Times New Roman"/>
                <w:sz w:val="24"/>
                <w:szCs w:val="24"/>
              </w:rPr>
              <w:br/>
            </w:r>
            <w:r>
              <w:rPr>
                <w:rFonts w:ascii="Times New Roman" w:eastAsia="Arial" w:hAnsi="Times New Roman" w:cs="Times New Roman"/>
                <w:b/>
                <w:color w:val="FFFFFF"/>
                <w:sz w:val="24"/>
                <w:szCs w:val="24"/>
              </w:rPr>
              <w:t xml:space="preserve"> SPECIFIČNI CILJ I </w:t>
            </w:r>
          </w:p>
        </w:tc>
      </w:tr>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PROJEKAT BROJ 25 - </w:t>
            </w:r>
            <w:r>
              <w:rPr>
                <w:rFonts w:ascii="Times New Roman" w:eastAsia="Arial" w:hAnsi="Times New Roman" w:cs="Times New Roman"/>
                <w:sz w:val="24"/>
                <w:szCs w:val="24"/>
              </w:rPr>
              <w:t>RAZVOJ ODRŽIVOG JAVNOG PREVOZA I AKTIVNE MOBILNOSTI</w:t>
            </w:r>
          </w:p>
        </w:tc>
      </w:tr>
      <w:tr w:rsidR="00E944C2">
        <w:trPr>
          <w:cantSplit/>
          <w:trHeight w:val="918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7F5DDB">
            <w:pPr>
              <w:pStyle w:val="Normal1"/>
              <w:spacing w:before="240" w:after="0" w:line="276" w:lineRule="auto"/>
              <w:rPr>
                <w:rFonts w:ascii="Times New Roman" w:eastAsia="Arial" w:hAnsi="Times New Roman" w:cs="Times New Roman"/>
                <w:b/>
                <w:color w:val="FFFFFF"/>
                <w:sz w:val="24"/>
                <w:szCs w:val="24"/>
              </w:rPr>
            </w:pPr>
            <w:r>
              <w:rPr>
                <w:rFonts w:ascii="Times New Roman" w:eastAsia="Arial" w:hAnsi="Times New Roman" w:cs="Times New Roman"/>
                <w:b/>
                <w:color w:val="FFFFFF"/>
                <w:sz w:val="24"/>
                <w:szCs w:val="24"/>
              </w:rPr>
              <w:t xml:space="preserve">KLJUČNI CILJ I IZLAZNI INDIKATORI: </w:t>
            </w:r>
            <w:r>
              <w:rPr>
                <w:rFonts w:ascii="Times New Roman" w:eastAsia="Arial" w:hAnsi="Times New Roman" w:cs="Times New Roman"/>
                <w:b/>
                <w:color w:val="FFFFFF"/>
                <w:sz w:val="24"/>
                <w:szCs w:val="24"/>
              </w:rPr>
              <w:br/>
              <w:t xml:space="preserve"> Ključni ciljevi:</w:t>
            </w:r>
          </w:p>
          <w:p w:rsidR="00E944C2" w:rsidRDefault="00F7666C" w:rsidP="00E36C81">
            <w:pPr>
              <w:pStyle w:val="Normal1"/>
              <w:numPr>
                <w:ilvl w:val="0"/>
                <w:numId w:val="35"/>
              </w:numPr>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Izrada Studije javnog gradskog i prigradskog prevoza putnika</w:t>
            </w:r>
          </w:p>
          <w:p w:rsidR="00E944C2" w:rsidRDefault="00F7666C" w:rsidP="00E36C81">
            <w:pPr>
              <w:pStyle w:val="Normal1"/>
              <w:numPr>
                <w:ilvl w:val="0"/>
                <w:numId w:val="35"/>
              </w:numPr>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Izrada Studije auto-taksi prevoza</w:t>
            </w:r>
          </w:p>
          <w:p w:rsidR="00E944C2" w:rsidRDefault="00F7666C" w:rsidP="00E36C81">
            <w:pPr>
              <w:pStyle w:val="Normal1"/>
              <w:numPr>
                <w:ilvl w:val="0"/>
                <w:numId w:val="35"/>
              </w:numPr>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Izrada Plana održive urbane mobilnosti</w:t>
            </w:r>
          </w:p>
          <w:p w:rsidR="00E944C2" w:rsidRDefault="00F7666C" w:rsidP="00E36C81">
            <w:pPr>
              <w:pStyle w:val="Normal1"/>
              <w:numPr>
                <w:ilvl w:val="0"/>
                <w:numId w:val="35"/>
              </w:numPr>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Unaprijeđenje voznog parka za obavljanje javnog gradskog i prigradskog prevoza</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Za prelazak na bezbjednu, pristupačnu, pametnu i otpornu gradsku mobilnost sa nultom stopom emisija neophodno je usmjeriti se na aktivnu i zajedničku mobilnost koja se bazira na rješenjima sa niskom i nultom stopom emisija. Iz tog razloga neophodan je strateški pristup i nova ulaganja, sa fokusom na javni prevoz, multimodalnost i infrastrukturu za aktivnu mobilnost.</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Očekivani efekti studija treba da omoguće da buduća mreža linija sistema javnog gradskog i prigradskog prevoza putnika u Glavnom gradu podržava ostvarenje koncepta realizacije efikasne mobilnosti svih kategorija korisnika, uz racionalizaciju troškova funkcionisanja cjeline sistema. Takođe, mreža linija treba da omogući unaprjeđenje proizvodne, tehničke i ekonomske efikasnosti sistema. Sistem javnog gradskog i prigradskog prevoza putnika treba da doprinese stvaranju uslova da Glavni grada bude pogodna za život, humano orijentisana i ekološki prihvatljivija, sa visokim stepenom opšte transportne održivosti.</w:t>
            </w:r>
          </w:p>
          <w:p w:rsidR="00E944C2" w:rsidRDefault="00F7666C" w:rsidP="00E36C81">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U cilju razvoja pametne i održive mobilnosti neophodno je izvršiti investiranje u efikasniji javni prevoz putnika kroz modernizaciju sistema, uvođenje električnih prevoznih sredstava, poboljšanje ponude, povećanje frekventnosti, cijenovne pristupačnosti i dostupnosti javnog prevoza, jačanje komunikacije sa građanima, razvoj aplikativnih rješenja i primjenu inteligentnih transportnih sistema i pružanje informacija o prevozu u realnom vremenu.</w:t>
            </w:r>
          </w:p>
          <w:p w:rsidR="00E944C2" w:rsidRDefault="00E944C2" w:rsidP="00E36C81">
            <w:pPr>
              <w:pStyle w:val="Normal1"/>
              <w:spacing w:before="240" w:after="0" w:line="276" w:lineRule="auto"/>
              <w:jc w:val="both"/>
              <w:rPr>
                <w:rFonts w:ascii="Times New Roman" w:eastAsia="Arial" w:hAnsi="Times New Roman" w:cs="Times New Roman"/>
                <w:sz w:val="24"/>
                <w:szCs w:val="24"/>
              </w:rPr>
            </w:pPr>
          </w:p>
        </w:tc>
      </w:tr>
      <w:tr w:rsidR="00E944C2">
        <w:trPr>
          <w:cantSplit/>
          <w:trHeight w:val="2794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 xml:space="preserve">Opis projekta: </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Sistem javnog prevoza putnika sa svojim performansama, tehnologijom, kvalitetom, troškovima i uticajem na okruženje, predstavlja jedan od bitnih faktora od uticaja na funkcionisanje. Osnovna aktivnost u procesu planiranja i projektovanja sistema javnog prevoza putnika podrazumjeva uspostavljanje optimalne raspodjele putovanja po podsistemima (modal split) i distribuciju putovanja na one podsisteme koji donose ravnotežni optimum u realizaciji mobilnosti građana. Uspješni gradovi i gradovi pogodni za život se oslanjaju na efikasan sistem javnog masovnog prevoza putnika, koji u sinergiji sa vidovima fleksibilnog sistema prevoza putnika korisnicima pružaju kombinovanu transportnu uslugu, odnosno uslugu kombinovane mobilnosti.</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Obaveza Glavnog grada da se realizuje viši nivo kvaliteta prevozne usluge uz prihvatljivu cijenu, kao i obaveze vezane za obezbjeđenje kvalitetne realizacije mobilnosti stanovnika, predstavljaju ključne zahtjeve prema saobraćajno-transportnom sistemu.</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Da bi opstao u ovako složenim uslovima, i da bi u budućem vremenu imao elemente razvojnog karaktera, sistem javnog prevoza se mora transformisati u svim aspektima strukture, funkcionisanja, organizacije i upravljanja u skladu sa savremenim tokovima nauke i prakse u svijetu. Koncept nove strukture, organizacije, upravljanja i funkcionisanja sistema u Glavnom gradu treba da bude usmjeren ka stvaranju uslova za sprovođenje kontinualnog procesa pozicioniranja sistema u budućnosti u smislu njegove održivosti i nezavisnosti kroz definisanje ciljeva koje sistem želi dostići, kao i na pravce i načine za dostizanje ciljeva cjeline sistema, imajući u vidu realne sopstvene mogućnosti.</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Struktura i veličina sistema javnog prevoza putnika zavisi prije svega od transportnih potreba i transportnih zahtjeva korisnika koji su u različitim karakterističnim časovima u toku dana, danima i sezonama u toku godine, različiti po obimu i po intenzitetu. Transportne potrebe i transportni zahtjevi su bazne veličine koje predstavljaju ulaz za projektovanje najvažnijih elementa rada sistema javnog prevoza putnika, a samim tim i ključni faktori od uticaja na proces optimizacije svih angažovanih resursa u sistemu (vozila, zaposleni, finansije, infrastruktura na mreži linija, transportni kapaciteti, itd.). Na proces nastanka transportnih zahtjeva i njihovih karakteristika u toku dana utiče veliki broj faktora između kojih najveći uticaj imaju karakteristike tržišta transportnih usluga, odnosno urbano područje koje sistem opslužuje, broj i raspodjela aktivnosti korisnika, sezone u toku godine karakteristične po specifičnim aktivnostima stanovnika, položaj, karakteristike transportne mreže (infrastrukture), tipovi linija, projektovani kvalitet usluge, itd.</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Sa druge strane, osnovni element strukture sistema javnog prevoza putnika čini saobraćajna mreža sistema, koja svojim performansama ujedno predstavlja i osnovu transportne ponude sistema. Mreža linija zavisi od strukture grada, gradske saobraćajne mreže i njene infrastrukture (ulične i putne mreže), strukture samog sistema javnog prevoza putnika, veličine transportnih zahtjeva i potreba korisnika sistema, geografskih i klimatskih karakteristika područja grada, itd. Da bi mreža linija sistema javnog prevoza putnika na teritoriji Glavnog grada bila u skladu sa zahtjevima ključnih aktera (korisnici, prevoznik i organi lokalne uprave) i da bi u budućem vremenu imala elemente razvojnog karaktera, ona se mora kontinualno prilagođavati, u vremenu i prostoru, razvoju Glavnog grada i njenih osnovnih funkcija. U tom smislu, neophodno je postojeću mrežu linija sistema javnog gradskog i prigradskog prevoza putnika, unaprijediti, restruktuirati i preprojektovati u skladu sa egzaktno utvrđenim karakteristikama transportnih potreba i transportnih zahtjeva. U skladu sa savremenim trendovima, potrebno je izvršiti reinženjering sistema javnog gradskog i prigradskog prevoza putnika da bi iz postojećeg moglo da se pređe u željeno stanje: održiv i kvalitetan servis mobilnosti građana Glavnog grada uz prihvatljive cijene za prevoznika i putnike.</w:t>
            </w:r>
          </w:p>
          <w:p w:rsidR="00E944C2" w:rsidRPr="006A0398" w:rsidRDefault="00F7666C" w:rsidP="00E36C81">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Očekivani efekti studije treba da omoguće da buduća mreža linija sistema javnog gradskog i prigradskog prevoza putnika podržava ostvarenje koncepta realizacije efikasne mobilnosti svih kategorija korisnika, uz racionalizaciju troškova funkcionisanja cjeline sistema.</w:t>
            </w:r>
          </w:p>
          <w:p w:rsidR="00E944C2" w:rsidRPr="006A0398" w:rsidRDefault="00F7666C" w:rsidP="00E36C81">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 xml:space="preserve">Nadalje, podsjećamo da je Glavni grad 2020. godine izradio i usvojio Plan održive urbane mobilnosti za period 2020.-2025. godina, te da je potrebno izraditi i usvojiti novi Plan. </w:t>
            </w:r>
          </w:p>
          <w:p w:rsidR="00E944C2" w:rsidRPr="006A0398" w:rsidRDefault="00F7666C" w:rsidP="00E36C81">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Naime, kako bi odgovorila na društvene izazove, Evropska unija je usvojila regulatorni okvir za urbanu mobilnost koji je bio usmjeren na podsticanje zajedničkih lokalnih, nacionalnih i evropskih mjera s ciljem da se urbana područja razvijaju na održiv način, te da se ispune ciljevi EU o konkurentnom i ekonomičnom sistemu saobraćaja u Evropi. Između ostalog, uvedeno je planiranje održive urbane mobilnosti, kao evropski koncept planiranja urbanog saobraćaja, putem donošenja plana urbane mobilnosti (eng. Sustainable Urban Mobility Plan, SUMP), uz razvoj smjernica za izradu takvih planova.</w:t>
            </w:r>
          </w:p>
          <w:p w:rsidR="00E944C2" w:rsidRPr="006A0398" w:rsidRDefault="00F7666C">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Takođe, izrada i primjena Plana održive urbane mobilnosti je utvrđena i regulativom za sve gradove sa preko 100.000 stanovnika, u koje je pored gradova EU svrstana i Podgorica.</w:t>
            </w:r>
          </w:p>
          <w:p w:rsidR="00E944C2" w:rsidRPr="006A0398" w:rsidRDefault="00F7666C">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Unapređenje usluge javnog prevoza ogleda se i kroz nabavke novih autobusa sa pogonom na alternativna goriva u skladu sa ekološkom brigom o životnoj sredini. Uvođenjem u sistem Gradskog linijskog preduzeća a u skladu sa svjetskim tokovima cilj je postepeno uvođenje ove vrste prevoznih sredstava kao dugoročna namjera da isti zamijene vozila sa unutrašnjim sagorjevanjem.</w:t>
            </w:r>
          </w:p>
          <w:p w:rsidR="00E944C2" w:rsidRPr="006A0398" w:rsidRDefault="00F7666C">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sz w:val="24"/>
                <w:szCs w:val="24"/>
              </w:rPr>
              <w:t>Izrada novih i rekonstrukcija postojećih autobuskih stajališta u dijelu modernizacije istih će biti opremljena LED displejima koji će omogućiti uz povezanost sa GPS signalom iz vozila tačan uvid u vrijeme koje je potrebno da određeno vozilo stigne na postojeću autobusku stanicu, a sve po ugledu na ostale gradove Evrope i svijeta. Digitalizacijom javnog prevoza, kroz razvoj novih aplikacija i uvođenje inteligentnih transportnih sistema, gražani će imati sve neophodne informacije u realnom vremenu, što će značajno podići nivo pružanja usluga javnog prevoza i aktivne mobilnosti.</w:t>
            </w:r>
          </w:p>
          <w:p w:rsidR="00E944C2" w:rsidRPr="006A0398" w:rsidRDefault="00F7666C">
            <w:pPr>
              <w:pStyle w:val="Normal1"/>
              <w:spacing w:before="240" w:line="276" w:lineRule="auto"/>
              <w:jc w:val="both"/>
              <w:rPr>
                <w:rFonts w:ascii="Times New Roman" w:eastAsia="Arial" w:hAnsi="Times New Roman" w:cs="Times New Roman"/>
                <w:sz w:val="24"/>
                <w:szCs w:val="24"/>
              </w:rPr>
            </w:pPr>
            <w:r w:rsidRPr="006A0398">
              <w:rPr>
                <w:rFonts w:ascii="Times New Roman" w:eastAsia="Arial" w:hAnsi="Times New Roman" w:cs="Times New Roman"/>
                <w:b/>
                <w:sz w:val="24"/>
                <w:szCs w:val="24"/>
              </w:rPr>
              <w:t>Vodeći partner/Nosilac projekta:</w:t>
            </w:r>
            <w:r w:rsidRPr="006A0398">
              <w:rPr>
                <w:rFonts w:ascii="Times New Roman" w:eastAsia="Arial" w:hAnsi="Times New Roman" w:cs="Times New Roman"/>
                <w:sz w:val="24"/>
                <w:szCs w:val="24"/>
              </w:rPr>
              <w:t xml:space="preserve"> Sekretarijat za saobraćaj/odabrani ponuđač</w:t>
            </w:r>
          </w:p>
          <w:p w:rsidR="00E944C2" w:rsidRPr="006A0398" w:rsidRDefault="00F7666C">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b/>
                <w:sz w:val="24"/>
                <w:szCs w:val="24"/>
              </w:rPr>
              <w:t>Subjekti uključeni u implementaciju:</w:t>
            </w:r>
            <w:r w:rsidRPr="006A0398">
              <w:rPr>
                <w:rFonts w:ascii="Times New Roman" w:eastAsia="Arial" w:hAnsi="Times New Roman" w:cs="Times New Roman"/>
                <w:sz w:val="24"/>
                <w:szCs w:val="24"/>
              </w:rPr>
              <w:t xml:space="preserve"> /</w:t>
            </w:r>
          </w:p>
          <w:p w:rsidR="00E944C2" w:rsidRPr="006A0398" w:rsidRDefault="00F7666C">
            <w:pPr>
              <w:pStyle w:val="Normal1"/>
              <w:spacing w:before="240" w:after="0" w:line="276" w:lineRule="auto"/>
              <w:jc w:val="both"/>
              <w:rPr>
                <w:rFonts w:ascii="Times New Roman" w:eastAsia="Arial" w:hAnsi="Times New Roman" w:cs="Times New Roman"/>
                <w:sz w:val="24"/>
                <w:szCs w:val="24"/>
              </w:rPr>
            </w:pPr>
            <w:r w:rsidRPr="006A0398">
              <w:rPr>
                <w:rFonts w:ascii="Times New Roman" w:eastAsia="Arial" w:hAnsi="Times New Roman" w:cs="Times New Roman"/>
                <w:b/>
                <w:sz w:val="24"/>
                <w:szCs w:val="24"/>
              </w:rPr>
              <w:t>Status imovinsko pravnih odnosa:/</w:t>
            </w:r>
          </w:p>
          <w:p w:rsidR="00E944C2" w:rsidRPr="006A0398" w:rsidRDefault="00F7666C">
            <w:pPr>
              <w:pStyle w:val="Normal1"/>
              <w:spacing w:before="240" w:after="0" w:line="276" w:lineRule="auto"/>
              <w:jc w:val="both"/>
              <w:rPr>
                <w:rFonts w:ascii="Times New Roman" w:eastAsia="Arial" w:hAnsi="Times New Roman" w:cs="Times New Roman"/>
                <w:b/>
                <w:sz w:val="24"/>
                <w:szCs w:val="24"/>
              </w:rPr>
            </w:pPr>
            <w:r w:rsidRPr="006A0398">
              <w:rPr>
                <w:rFonts w:ascii="Times New Roman" w:eastAsia="Arial" w:hAnsi="Times New Roman" w:cs="Times New Roman"/>
                <w:b/>
                <w:sz w:val="24"/>
                <w:szCs w:val="24"/>
              </w:rPr>
              <w:t>Trenutni status:</w:t>
            </w:r>
          </w:p>
          <w:p w:rsidR="00E944C2" w:rsidRDefault="00F7666C">
            <w:pPr>
              <w:pStyle w:val="Normal1"/>
              <w:spacing w:before="240" w:after="240" w:line="276" w:lineRule="auto"/>
              <w:jc w:val="both"/>
              <w:rPr>
                <w:rFonts w:ascii="Arial" w:eastAsia="Arial" w:hAnsi="Arial" w:cs="Arial"/>
                <w:b/>
                <w:sz w:val="20"/>
                <w:szCs w:val="20"/>
              </w:rPr>
            </w:pPr>
            <w:r>
              <w:rPr>
                <w:rFonts w:ascii="Arial" w:eastAsia="Arial" w:hAnsi="Arial" w:cs="Arial"/>
                <w:b/>
                <w:sz w:val="20"/>
                <w:szCs w:val="20"/>
              </w:rPr>
              <w:br/>
            </w:r>
            <w:r>
              <w:rPr>
                <w:rFonts w:ascii="Arial" w:eastAsia="Arial" w:hAnsi="Arial" w:cs="Arial"/>
                <w:b/>
                <w:sz w:val="20"/>
                <w:szCs w:val="20"/>
              </w:rPr>
              <w:br/>
            </w:r>
            <w:r>
              <w:rPr>
                <w:rFonts w:ascii="Arial" w:eastAsia="Arial" w:hAnsi="Arial" w:cs="Arial"/>
                <w:b/>
                <w:sz w:val="20"/>
                <w:szCs w:val="20"/>
              </w:rPr>
              <w:br/>
            </w:r>
          </w:p>
          <w:p w:rsidR="00E944C2" w:rsidRDefault="00E944C2">
            <w:pPr>
              <w:pStyle w:val="Normal1"/>
              <w:spacing w:before="240" w:after="0" w:line="276" w:lineRule="auto"/>
              <w:jc w:val="both"/>
              <w:rPr>
                <w:rFonts w:ascii="Arial" w:eastAsia="Arial" w:hAnsi="Arial" w:cs="Arial"/>
                <w:sz w:val="20"/>
                <w:szCs w:val="20"/>
              </w:rPr>
            </w:pP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BUDŽET I IZVOR FINANSIRANJA</w:t>
            </w:r>
          </w:p>
        </w:tc>
      </w:tr>
      <w:tr w:rsidR="00E944C2">
        <w:trPr>
          <w:cantSplit/>
          <w:trHeight w:val="435"/>
          <w:tblHeader/>
        </w:trPr>
        <w:tc>
          <w:tcPr>
            <w:tcW w:w="408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E36C81">
            <w:pPr>
              <w:pStyle w:val="Normal1"/>
              <w:shd w:val="clear" w:color="auto" w:fill="FFFFFF"/>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Budžet Glavnog grada 500.000,00€</w:t>
            </w:r>
          </w:p>
        </w:tc>
        <w:tc>
          <w:tcPr>
            <w:tcW w:w="109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2025</w:t>
            </w:r>
          </w:p>
        </w:tc>
        <w:tc>
          <w:tcPr>
            <w:tcW w:w="202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2026</w:t>
            </w:r>
          </w:p>
        </w:tc>
        <w:tc>
          <w:tcPr>
            <w:tcW w:w="162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585"/>
          <w:tblHeader/>
        </w:trPr>
        <w:tc>
          <w:tcPr>
            <w:tcW w:w="408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109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pPr>
              <w:pStyle w:val="Normal1"/>
              <w:spacing w:before="240" w:after="0" w:line="276" w:lineRule="auto"/>
              <w:jc w:val="both"/>
              <w:rPr>
                <w:rFonts w:ascii="Times New Roman" w:eastAsia="Arial" w:hAnsi="Times New Roman" w:cs="Times New Roman"/>
                <w:sz w:val="24"/>
                <w:szCs w:val="20"/>
              </w:rPr>
            </w:pPr>
          </w:p>
        </w:tc>
        <w:tc>
          <w:tcPr>
            <w:tcW w:w="202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162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pPr>
              <w:pStyle w:val="Normal1"/>
              <w:spacing w:line="360" w:lineRule="auto"/>
              <w:jc w:val="both"/>
              <w:rPr>
                <w:rFonts w:ascii="Times New Roman" w:eastAsia="Times New Roman" w:hAnsi="Times New Roman" w:cs="Times New Roman"/>
                <w:sz w:val="24"/>
                <w:szCs w:val="24"/>
              </w:rPr>
            </w:pPr>
          </w:p>
        </w:tc>
      </w:tr>
      <w:tr w:rsidR="00E944C2">
        <w:trPr>
          <w:cantSplit/>
          <w:trHeight w:val="855"/>
          <w:tblHeader/>
        </w:trPr>
        <w:tc>
          <w:tcPr>
            <w:tcW w:w="408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AKTIVNOSTI</w:t>
            </w:r>
          </w:p>
        </w:tc>
        <w:tc>
          <w:tcPr>
            <w:tcW w:w="109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Arial" w:hAnsi="Times New Roman" w:cs="Times New Roman"/>
                <w:sz w:val="24"/>
                <w:szCs w:val="20"/>
              </w:rPr>
            </w:pPr>
          </w:p>
        </w:tc>
        <w:tc>
          <w:tcPr>
            <w:tcW w:w="202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Datum početka</w:t>
            </w:r>
          </w:p>
        </w:tc>
        <w:tc>
          <w:tcPr>
            <w:tcW w:w="162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bl>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rsidP="00E36C81">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E944C2">
      <w:pPr>
        <w:pStyle w:val="Normal1"/>
        <w:spacing w:before="240" w:after="240" w:line="360" w:lineRule="auto"/>
        <w:jc w:val="both"/>
        <w:rPr>
          <w:rFonts w:ascii="Arial" w:eastAsia="Arial" w:hAnsi="Arial" w:cs="Arial"/>
          <w:sz w:val="20"/>
          <w:szCs w:val="20"/>
        </w:rPr>
      </w:pPr>
    </w:p>
    <w:p w:rsidR="00E944C2" w:rsidRDefault="00F7666C">
      <w:pPr>
        <w:pStyle w:val="Normal1"/>
        <w:spacing w:before="240" w:after="240" w:line="360" w:lineRule="auto"/>
        <w:jc w:val="both"/>
        <w:rPr>
          <w:rFonts w:ascii="Arial" w:eastAsia="Arial" w:hAnsi="Arial" w:cs="Arial"/>
          <w:sz w:val="20"/>
          <w:szCs w:val="20"/>
        </w:rPr>
      </w:pPr>
      <w:r>
        <w:rPr>
          <w:rFonts w:ascii="Arial" w:eastAsia="Arial" w:hAnsi="Arial" w:cs="Arial"/>
          <w:sz w:val="20"/>
          <w:szCs w:val="20"/>
        </w:rPr>
        <w:br/>
      </w:r>
      <w:r>
        <w:rPr>
          <w:rFonts w:ascii="Arial" w:eastAsia="Arial" w:hAnsi="Arial" w:cs="Arial"/>
          <w:sz w:val="20"/>
          <w:szCs w:val="20"/>
        </w:rPr>
        <w:br/>
      </w:r>
    </w:p>
    <w:p w:rsidR="00E944C2" w:rsidRDefault="00E944C2">
      <w:pPr>
        <w:pStyle w:val="Normal1"/>
        <w:spacing w:before="240" w:after="240" w:line="360" w:lineRule="auto"/>
        <w:jc w:val="both"/>
        <w:rPr>
          <w:rFonts w:ascii="Arial" w:eastAsia="Arial" w:hAnsi="Arial" w:cs="Arial"/>
          <w:sz w:val="20"/>
          <w:szCs w:val="20"/>
        </w:rPr>
      </w:pPr>
    </w:p>
    <w:tbl>
      <w:tblPr>
        <w:tblStyle w:val="26"/>
        <w:tblW w:w="8880" w:type="dxa"/>
        <w:tblInd w:w="20" w:type="dxa"/>
        <w:tblLayout w:type="fixed"/>
        <w:tblLook w:val="04A0"/>
      </w:tblPr>
      <w:tblGrid>
        <w:gridCol w:w="4110"/>
        <w:gridCol w:w="1065"/>
        <w:gridCol w:w="2040"/>
        <w:gridCol w:w="1605"/>
        <w:gridCol w:w="60"/>
      </w:tblGrid>
      <w:tr w:rsidR="00E944C2">
        <w:trPr>
          <w:cantSplit/>
          <w:trHeight w:val="1200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6A0398">
            <w:pPr>
              <w:pStyle w:val="Normal1"/>
              <w:spacing w:before="240" w:after="0" w:line="276" w:lineRule="auto"/>
              <w:rPr>
                <w:rFonts w:ascii="Times New Roman" w:eastAsia="Arial" w:hAnsi="Times New Roman" w:cs="Times New Roman"/>
                <w:b/>
                <w:color w:val="FFFFFF"/>
                <w:sz w:val="24"/>
                <w:szCs w:val="24"/>
              </w:rPr>
            </w:pPr>
            <w:r>
              <w:rPr>
                <w:rFonts w:ascii="Times New Roman" w:eastAsia="Arial" w:hAnsi="Times New Roman" w:cs="Times New Roman"/>
                <w:b/>
                <w:sz w:val="24"/>
                <w:szCs w:val="24"/>
                <w:bdr w:val="single" w:sz="4" w:space="0" w:color="auto"/>
              </w:rPr>
              <w:t>PROJEKAT BROJ 26</w:t>
            </w:r>
            <w:r>
              <w:rPr>
                <w:rFonts w:ascii="Times New Roman" w:eastAsia="Arial" w:hAnsi="Times New Roman" w:cs="Times New Roman"/>
                <w:sz w:val="24"/>
                <w:szCs w:val="24"/>
                <w:bdr w:val="single" w:sz="4" w:space="0" w:color="auto"/>
              </w:rPr>
              <w:t xml:space="preserve"> - POLIGON OBUKE VOZAČA ZA BEZBJEDNU VOŽNJU</w:t>
            </w:r>
            <w:r>
              <w:rPr>
                <w:rFonts w:ascii="Times New Roman" w:eastAsia="Arial" w:hAnsi="Times New Roman" w:cs="Times New Roman"/>
                <w:b/>
                <w:sz w:val="24"/>
                <w:szCs w:val="24"/>
              </w:rPr>
              <w:br/>
            </w:r>
            <w:r>
              <w:rPr>
                <w:rFonts w:ascii="Times New Roman" w:eastAsia="Arial" w:hAnsi="Times New Roman" w:cs="Times New Roman"/>
                <w:b/>
                <w:color w:val="FFFFFF"/>
                <w:sz w:val="24"/>
                <w:szCs w:val="24"/>
              </w:rPr>
              <w:br/>
              <w:t xml:space="preserve">KLJUČNI CILJ I IZLAZNI INDIKATORI: </w:t>
            </w:r>
            <w:r>
              <w:rPr>
                <w:rFonts w:ascii="Times New Roman" w:eastAsia="Arial" w:hAnsi="Times New Roman" w:cs="Times New Roman"/>
                <w:b/>
                <w:color w:val="FFFFFF"/>
                <w:sz w:val="24"/>
                <w:szCs w:val="24"/>
              </w:rPr>
              <w:br/>
              <w:t>Ključni ciljevi:</w:t>
            </w:r>
          </w:p>
          <w:p w:rsidR="00E944C2" w:rsidRDefault="00F7666C">
            <w:pPr>
              <w:pStyle w:val="Normal1"/>
              <w:spacing w:before="240" w:after="0" w:line="276" w:lineRule="auto"/>
              <w:jc w:val="both"/>
              <w:rPr>
                <w:rFonts w:ascii="Times New Roman" w:eastAsia="Arial" w:hAnsi="Times New Roman" w:cs="Times New Roman"/>
                <w:sz w:val="24"/>
                <w:szCs w:val="24"/>
              </w:rPr>
            </w:pPr>
            <w:r>
              <w:rPr>
                <w:rFonts w:ascii="Times New Roman" w:eastAsia="Arial" w:hAnsi="Times New Roman" w:cs="Times New Roman"/>
                <w:sz w:val="24"/>
                <w:szCs w:val="24"/>
              </w:rPr>
              <w:t>Povećanje saobraćajne bezbjednosti kroz uspostavljanje i korišćenje poligona za praktičnu obuku vozača u simuliranim uslovima rizične vožnje.</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Izgrađen poligon i obezbijeđena infrastruktura</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Kapacitet obuke</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Arial" w:hAnsi="Times New Roman" w:cs="Times New Roman"/>
                <w:sz w:val="24"/>
                <w:szCs w:val="24"/>
              </w:rPr>
              <w:t>Broj instruktora obučenih za rad na poligonu</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·Broj vozila i druge opreme nabavljene i dostupne za obuku</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Broj korisnika (vozača) koji su prošli obuku</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Arial" w:hAnsi="Times New Roman" w:cs="Times New Roman"/>
                <w:sz w:val="24"/>
                <w:szCs w:val="24"/>
              </w:rPr>
              <w:t xml:space="preserve">Cilj: npr. </w:t>
            </w:r>
            <w:r>
              <w:rPr>
                <w:rFonts w:ascii="Times New Roman" w:eastAsia="Arial" w:hAnsi="Times New Roman" w:cs="Times New Roman"/>
                <w:b/>
                <w:sz w:val="24"/>
                <w:szCs w:val="24"/>
              </w:rPr>
              <w:t>X</w:t>
            </w:r>
            <w:r>
              <w:rPr>
                <w:rFonts w:ascii="Times New Roman" w:eastAsia="Arial" w:hAnsi="Times New Roman" w:cs="Times New Roman"/>
                <w:sz w:val="24"/>
                <w:szCs w:val="24"/>
              </w:rPr>
              <w:t xml:space="preserve"> vozača u prvoj godini, </w:t>
            </w:r>
            <w:r>
              <w:rPr>
                <w:rFonts w:ascii="Times New Roman" w:eastAsia="Arial" w:hAnsi="Times New Roman" w:cs="Times New Roman"/>
                <w:b/>
                <w:sz w:val="24"/>
                <w:szCs w:val="24"/>
              </w:rPr>
              <w:t>Y</w:t>
            </w:r>
            <w:r>
              <w:rPr>
                <w:rFonts w:ascii="Times New Roman" w:eastAsia="Arial" w:hAnsi="Times New Roman" w:cs="Times New Roman"/>
                <w:sz w:val="24"/>
                <w:szCs w:val="24"/>
              </w:rPr>
              <w:t xml:space="preserve"> u drugoj, itd.</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·Segmentacija: profesinalni vozači (autobusi, kamioni, motorciklisti), vozači automobila, mladi vozači, osobe sa invaliditetom</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Obučeni scenariji i programi</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Arial" w:hAnsi="Times New Roman" w:cs="Times New Roman"/>
                <w:sz w:val="24"/>
                <w:szCs w:val="24"/>
              </w:rPr>
              <w:t>Broj različitih obuka (scenarija) razvijenih: npr. vožnja u uslovima smanjene vidljivosti, izbjegavanje prepreka, hitno kočenje, vožnja po vlažnom kolovozu, simulacija proklizavanja itd.</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w:t>
            </w:r>
            <w:r w:rsidR="007F5DDB">
              <w:rPr>
                <w:rFonts w:ascii="Times New Roman" w:eastAsia="Arial" w:hAnsi="Times New Roman" w:cs="Times New Roman"/>
                <w:sz w:val="24"/>
                <w:szCs w:val="24"/>
              </w:rPr>
              <w:t xml:space="preserve"> </w:t>
            </w:r>
            <w:r>
              <w:rPr>
                <w:rFonts w:ascii="Times New Roman" w:eastAsia="Arial" w:hAnsi="Times New Roman" w:cs="Times New Roman"/>
                <w:sz w:val="24"/>
                <w:szCs w:val="24"/>
              </w:rPr>
              <w:t>Broj sati obuke po scenariju</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Uspostavljen monitoring i evaluacija</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Arial" w:hAnsi="Times New Roman" w:cs="Times New Roman"/>
                <w:sz w:val="24"/>
                <w:szCs w:val="24"/>
              </w:rPr>
              <w:t>Sistem evaluacije vozača nakon obuke</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·Praćenje zadovoljstva korisnika obuke (ankete)</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·Godišnji izvještaji o postignutim rezultatima (npr. uspješnost reakcije, smanjenje broja grešaka u realnoj vožnji)</w:t>
            </w:r>
          </w:p>
          <w:p w:rsidR="00E944C2" w:rsidRDefault="00F7666C">
            <w:pPr>
              <w:pStyle w:val="Normal1"/>
              <w:spacing w:before="240" w:after="240" w:line="360" w:lineRule="auto"/>
              <w:jc w:val="both"/>
              <w:rPr>
                <w:rFonts w:ascii="Times New Roman" w:eastAsia="Arial" w:hAnsi="Times New Roman" w:cs="Times New Roman"/>
                <w:b/>
                <w:sz w:val="24"/>
                <w:szCs w:val="24"/>
              </w:rPr>
            </w:pPr>
            <w:r>
              <w:rPr>
                <w:rFonts w:ascii="Times New Roman" w:eastAsia="Arial" w:hAnsi="Times New Roman" w:cs="Times New Roman"/>
                <w:b/>
                <w:sz w:val="24"/>
                <w:szCs w:val="24"/>
              </w:rPr>
              <w:t>Operativna spremnost i dostupnost</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Times New Roman" w:hAnsi="Times New Roman" w:cs="Times New Roman"/>
                <w:sz w:val="24"/>
                <w:szCs w:val="24"/>
              </w:rPr>
              <w:t xml:space="preserve">· </w:t>
            </w:r>
            <w:r>
              <w:rPr>
                <w:rFonts w:ascii="Times New Roman" w:eastAsia="Arial" w:hAnsi="Times New Roman" w:cs="Times New Roman"/>
                <w:sz w:val="24"/>
                <w:szCs w:val="24"/>
              </w:rPr>
              <w:t>Poligon otvoren za korišćenje x dan(a) u sedmici</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·Broj sati dostupnosti poligona mjesečno/godišnje</w:t>
            </w:r>
          </w:p>
          <w:p w:rsidR="00E944C2" w:rsidRDefault="00F7666C">
            <w:pPr>
              <w:pStyle w:val="Normal1"/>
              <w:spacing w:before="240" w:after="240" w:line="360" w:lineRule="auto"/>
              <w:ind w:left="1080" w:hanging="360"/>
              <w:jc w:val="both"/>
              <w:rPr>
                <w:rFonts w:ascii="Times New Roman" w:eastAsia="Arial" w:hAnsi="Times New Roman" w:cs="Times New Roman"/>
                <w:sz w:val="24"/>
                <w:szCs w:val="24"/>
              </w:rPr>
            </w:pPr>
            <w:r>
              <w:rPr>
                <w:rFonts w:ascii="Times New Roman" w:eastAsia="Arial" w:hAnsi="Times New Roman" w:cs="Times New Roman"/>
                <w:sz w:val="24"/>
                <w:szCs w:val="24"/>
              </w:rPr>
              <w:t>·Cijena obuke i pristupačnosti za različite kategorije (npr. subvencionisane obuke za mlade vozače / socijalno ugrožene)</w:t>
            </w:r>
          </w:p>
          <w:p w:rsidR="00E944C2" w:rsidRDefault="00E944C2">
            <w:pPr>
              <w:pStyle w:val="Normal1"/>
              <w:spacing w:before="240" w:after="0" w:line="276" w:lineRule="auto"/>
              <w:jc w:val="both"/>
              <w:rPr>
                <w:rFonts w:ascii="Times New Roman" w:eastAsia="Arial" w:hAnsi="Times New Roman" w:cs="Times New Roman"/>
                <w:sz w:val="24"/>
                <w:szCs w:val="24"/>
              </w:rPr>
            </w:pPr>
          </w:p>
          <w:p w:rsidR="00E944C2" w:rsidRDefault="00E944C2">
            <w:pPr>
              <w:pStyle w:val="Normal1"/>
              <w:spacing w:before="240" w:after="0" w:line="276" w:lineRule="auto"/>
              <w:jc w:val="both"/>
              <w:rPr>
                <w:rFonts w:ascii="Times New Roman" w:eastAsia="Arial" w:hAnsi="Times New Roman" w:cs="Times New Roman"/>
                <w:sz w:val="24"/>
                <w:szCs w:val="24"/>
              </w:rPr>
            </w:pPr>
          </w:p>
        </w:tc>
      </w:tr>
      <w:tr w:rsidR="00E944C2">
        <w:trPr>
          <w:cantSplit/>
          <w:trHeight w:val="8250"/>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 xml:space="preserve">Opis projekta: </w:t>
            </w:r>
          </w:p>
          <w:p w:rsidR="00E944C2" w:rsidRDefault="00F7666C" w:rsidP="00E36C81">
            <w:pPr>
              <w:pStyle w:val="Normal1"/>
              <w:spacing w:before="240" w:after="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 xml:space="preserve">Projekat podrazumijeva planiranje, izgradnju i operativno funkcionisanje specijalizovanog </w:t>
            </w:r>
            <w:r>
              <w:rPr>
                <w:rFonts w:ascii="Times New Roman" w:eastAsia="Arial" w:hAnsi="Times New Roman" w:cs="Times New Roman"/>
                <w:b/>
                <w:sz w:val="24"/>
                <w:szCs w:val="20"/>
              </w:rPr>
              <w:t>poligona za obuku vozača u bezbjednosno rizičnim situacijama</w:t>
            </w:r>
            <w:r>
              <w:rPr>
                <w:rFonts w:ascii="Times New Roman" w:eastAsia="Arial" w:hAnsi="Times New Roman" w:cs="Times New Roman"/>
                <w:sz w:val="24"/>
                <w:szCs w:val="20"/>
              </w:rPr>
              <w:t>, u cilju unapređenja saobraćajne kulture, smanjenja broja saobraćajnih nezgoda i povećanja ukupne saobraćajne bezbjednosti u Glavnom gradu.</w:t>
            </w:r>
          </w:p>
          <w:p w:rsidR="00E944C2" w:rsidRDefault="00F7666C" w:rsidP="00E36C81">
            <w:pPr>
              <w:pStyle w:val="Normal1"/>
              <w:spacing w:before="240" w:after="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Poligon će omogućiti realističnu i kontrolisanu simulaciju opasnih saobraćajnih uslova (mokar kolovoz, naglo kočenje, proklizavanje, izbjegavanje prepreka itd.), čime će vozači moći da unaprijede svoje praktične vještine i nauče kako da reaguju u kriznim situacijama bez rizika po sebe ili druge učesnike u saobraćaju.</w:t>
            </w:r>
          </w:p>
          <w:p w:rsidR="00E944C2" w:rsidRDefault="00F7666C" w:rsidP="00E36C81">
            <w:pPr>
              <w:pStyle w:val="Normal1"/>
              <w:spacing w:before="240" w:after="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 xml:space="preserve">Poseban fokus biće stavljen na </w:t>
            </w:r>
            <w:r>
              <w:rPr>
                <w:rFonts w:ascii="Times New Roman" w:eastAsia="Arial" w:hAnsi="Times New Roman" w:cs="Times New Roman"/>
                <w:b/>
                <w:sz w:val="24"/>
                <w:szCs w:val="20"/>
              </w:rPr>
              <w:t>mlade vozače</w:t>
            </w:r>
            <w:r>
              <w:rPr>
                <w:rFonts w:ascii="Times New Roman" w:eastAsia="Arial" w:hAnsi="Times New Roman" w:cs="Times New Roman"/>
                <w:sz w:val="24"/>
                <w:szCs w:val="20"/>
              </w:rPr>
              <w:t xml:space="preserve">, </w:t>
            </w:r>
            <w:r>
              <w:rPr>
                <w:rFonts w:ascii="Times New Roman" w:eastAsia="Arial" w:hAnsi="Times New Roman" w:cs="Times New Roman"/>
                <w:b/>
                <w:sz w:val="24"/>
                <w:szCs w:val="20"/>
              </w:rPr>
              <w:t>vozače profesionalnih kategorija (A, B, C, D)</w:t>
            </w:r>
            <w:r>
              <w:rPr>
                <w:rFonts w:ascii="Times New Roman" w:eastAsia="Arial" w:hAnsi="Times New Roman" w:cs="Times New Roman"/>
                <w:sz w:val="24"/>
                <w:szCs w:val="20"/>
              </w:rPr>
              <w:t>, kao i druge prioritetne ciljne grupe, uključujući osobe koje po prvi put polažu vozački ispit, vozače sa istorijom saobraćajnih prekršaja i vozače službenih vozila itd.</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Vodeći partner/Nosilac projekta:</w:t>
            </w:r>
            <w:r>
              <w:rPr>
                <w:rFonts w:ascii="Times New Roman" w:eastAsia="Arial" w:hAnsi="Times New Roman" w:cs="Times New Roman"/>
                <w:sz w:val="24"/>
                <w:szCs w:val="20"/>
              </w:rPr>
              <w:t xml:space="preserve"> Sekretarijat za saobraćaj/odabrani ponuđač</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Subjekti uključeni u implementaciju:</w:t>
            </w:r>
            <w:r>
              <w:rPr>
                <w:rFonts w:ascii="Times New Roman" w:eastAsia="Arial" w:hAnsi="Times New Roman" w:cs="Times New Roman"/>
                <w:sz w:val="24"/>
                <w:szCs w:val="20"/>
              </w:rPr>
              <w:t>UCG Mašinski fakultet-saobraćajni smjer</w:t>
            </w:r>
          </w:p>
          <w:p w:rsidR="00E944C2" w:rsidRDefault="00F7666C" w:rsidP="00E36C81">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b/>
                <w:sz w:val="24"/>
                <w:szCs w:val="20"/>
              </w:rPr>
              <w:t>Status imovinsko pravnih odnosa:Riješeni, parcelau vlasništvu Glavnog grada</w:t>
            </w:r>
          </w:p>
          <w:p w:rsidR="00E944C2" w:rsidRDefault="00F7666C" w:rsidP="00E36C81">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Trenutni status: U toku je odabir adekvatne lokacije</w:t>
            </w:r>
          </w:p>
          <w:p w:rsidR="00E944C2" w:rsidRDefault="00F7666C" w:rsidP="00E36C81">
            <w:pPr>
              <w:pStyle w:val="Normal1"/>
              <w:spacing w:before="240" w:after="24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br/>
            </w:r>
            <w:r>
              <w:rPr>
                <w:rFonts w:ascii="Times New Roman" w:eastAsia="Arial" w:hAnsi="Times New Roman" w:cs="Times New Roman"/>
                <w:b/>
                <w:sz w:val="24"/>
                <w:szCs w:val="20"/>
              </w:rPr>
              <w:br/>
            </w:r>
            <w:r>
              <w:rPr>
                <w:rFonts w:ascii="Times New Roman" w:eastAsia="Arial" w:hAnsi="Times New Roman" w:cs="Times New Roman"/>
                <w:b/>
                <w:sz w:val="24"/>
                <w:szCs w:val="20"/>
              </w:rPr>
              <w:br/>
            </w:r>
          </w:p>
          <w:p w:rsidR="00E944C2" w:rsidRDefault="00E944C2">
            <w:pPr>
              <w:pStyle w:val="Normal1"/>
              <w:spacing w:before="240" w:after="0" w:line="276" w:lineRule="auto"/>
              <w:jc w:val="both"/>
              <w:rPr>
                <w:rFonts w:ascii="Arial" w:eastAsia="Arial" w:hAnsi="Arial" w:cs="Arial"/>
                <w:sz w:val="20"/>
                <w:szCs w:val="20"/>
              </w:rPr>
            </w:pP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BUDŽET I IZVOR FINANSIRANJA</w:t>
            </w:r>
          </w:p>
        </w:tc>
      </w:tr>
      <w:tr w:rsidR="00E944C2">
        <w:trPr>
          <w:cantSplit/>
          <w:trHeight w:val="435"/>
          <w:tblHeader/>
        </w:trPr>
        <w:tc>
          <w:tcPr>
            <w:tcW w:w="411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E36C81">
            <w:pPr>
              <w:pStyle w:val="Normal1"/>
              <w:shd w:val="clear" w:color="auto" w:fill="FFFFFF"/>
              <w:spacing w:before="24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Budžet Glavnog grada 500.000,00€</w:t>
            </w:r>
          </w:p>
        </w:tc>
        <w:tc>
          <w:tcPr>
            <w:tcW w:w="10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2026</w:t>
            </w:r>
          </w:p>
        </w:tc>
        <w:tc>
          <w:tcPr>
            <w:tcW w:w="204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2027</w:t>
            </w:r>
          </w:p>
        </w:tc>
        <w:tc>
          <w:tcPr>
            <w:tcW w:w="160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sz w:val="24"/>
                <w:szCs w:val="20"/>
              </w:rPr>
            </w:pPr>
            <w:r>
              <w:rPr>
                <w:rFonts w:ascii="Times New Roman" w:eastAsia="Arial" w:hAnsi="Times New Roman" w:cs="Times New Roman"/>
                <w:b/>
                <w:sz w:val="24"/>
                <w:szCs w:val="20"/>
              </w:rPr>
              <w:t>2028</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r w:rsidR="00E944C2">
        <w:trPr>
          <w:cantSplit/>
          <w:trHeight w:val="585"/>
          <w:tblHeader/>
        </w:trPr>
        <w:tc>
          <w:tcPr>
            <w:tcW w:w="411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106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pPr>
              <w:pStyle w:val="Normal1"/>
              <w:spacing w:before="240" w:after="0" w:line="276" w:lineRule="auto"/>
              <w:jc w:val="both"/>
              <w:rPr>
                <w:rFonts w:ascii="Times New Roman" w:eastAsia="Arial" w:hAnsi="Times New Roman" w:cs="Times New Roman"/>
                <w:sz w:val="24"/>
                <w:szCs w:val="20"/>
              </w:rPr>
            </w:pPr>
          </w:p>
        </w:tc>
        <w:tc>
          <w:tcPr>
            <w:tcW w:w="20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E944C2">
            <w:pPr>
              <w:pStyle w:val="Normal1"/>
              <w:spacing w:line="360" w:lineRule="auto"/>
              <w:jc w:val="both"/>
              <w:rPr>
                <w:rFonts w:ascii="Times New Roman" w:eastAsia="Times New Roman" w:hAnsi="Times New Roman" w:cs="Times New Roman"/>
                <w:sz w:val="24"/>
                <w:szCs w:val="24"/>
              </w:rPr>
            </w:pPr>
          </w:p>
        </w:tc>
        <w:tc>
          <w:tcPr>
            <w:tcW w:w="160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pPr>
              <w:pStyle w:val="Normal1"/>
              <w:spacing w:before="240" w:after="0" w:line="276" w:lineRule="auto"/>
              <w:jc w:val="both"/>
              <w:rPr>
                <w:rFonts w:ascii="Times New Roman" w:eastAsia="Arial" w:hAnsi="Times New Roman" w:cs="Times New Roman"/>
                <w:sz w:val="24"/>
                <w:szCs w:val="20"/>
              </w:rPr>
            </w:pPr>
            <w:r>
              <w:rPr>
                <w:rFonts w:ascii="Times New Roman" w:eastAsia="Arial" w:hAnsi="Times New Roman" w:cs="Times New Roman"/>
                <w:sz w:val="24"/>
                <w:szCs w:val="20"/>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pPr>
              <w:pStyle w:val="Normal1"/>
              <w:spacing w:line="360" w:lineRule="auto"/>
              <w:jc w:val="both"/>
              <w:rPr>
                <w:rFonts w:ascii="Times New Roman" w:eastAsia="Times New Roman" w:hAnsi="Times New Roman" w:cs="Times New Roman"/>
                <w:sz w:val="24"/>
                <w:szCs w:val="24"/>
              </w:rPr>
            </w:pPr>
          </w:p>
        </w:tc>
      </w:tr>
      <w:tr w:rsidR="00E944C2">
        <w:trPr>
          <w:cantSplit/>
          <w:trHeight w:val="855"/>
          <w:tblHeader/>
        </w:trPr>
        <w:tc>
          <w:tcPr>
            <w:tcW w:w="411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AKTIVNOSTI</w:t>
            </w:r>
          </w:p>
        </w:tc>
        <w:tc>
          <w:tcPr>
            <w:tcW w:w="106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Arial" w:hAnsi="Times New Roman" w:cs="Times New Roman"/>
                <w:sz w:val="24"/>
                <w:szCs w:val="20"/>
              </w:rPr>
            </w:pPr>
          </w:p>
        </w:tc>
        <w:tc>
          <w:tcPr>
            <w:tcW w:w="204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Datum početka</w:t>
            </w:r>
          </w:p>
        </w:tc>
        <w:tc>
          <w:tcPr>
            <w:tcW w:w="160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Arial" w:hAnsi="Times New Roman" w:cs="Times New Roman"/>
                <w:b/>
                <w:color w:val="FFFFFF"/>
                <w:sz w:val="24"/>
                <w:szCs w:val="20"/>
              </w:rPr>
            </w:pPr>
            <w:r>
              <w:rPr>
                <w:rFonts w:ascii="Times New Roman" w:eastAsia="Arial" w:hAnsi="Times New Roman" w:cs="Times New Roman"/>
                <w:b/>
                <w:color w:val="FFFFFF"/>
                <w:sz w:val="24"/>
                <w:szCs w:val="20"/>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E36C81">
            <w:pPr>
              <w:pStyle w:val="Normal1"/>
              <w:spacing w:line="360" w:lineRule="auto"/>
              <w:jc w:val="both"/>
              <w:rPr>
                <w:rFonts w:ascii="Times New Roman" w:eastAsia="Times New Roman" w:hAnsi="Times New Roman" w:cs="Times New Roman"/>
                <w:sz w:val="24"/>
                <w:szCs w:val="24"/>
              </w:rPr>
            </w:pPr>
          </w:p>
        </w:tc>
      </w:tr>
    </w:tbl>
    <w:p w:rsidR="00E944C2" w:rsidRDefault="00E944C2" w:rsidP="00316155">
      <w:pPr>
        <w:pStyle w:val="Normal1"/>
        <w:jc w:val="both"/>
      </w:pPr>
    </w:p>
    <w:p w:rsidR="00E944C2" w:rsidRDefault="00E944C2" w:rsidP="00316155">
      <w:pPr>
        <w:pStyle w:val="Normal1"/>
        <w:jc w:val="both"/>
      </w:pPr>
    </w:p>
    <w:tbl>
      <w:tblPr>
        <w:tblStyle w:val="25"/>
        <w:tblW w:w="8880" w:type="dxa"/>
        <w:tblInd w:w="20" w:type="dxa"/>
        <w:tblLayout w:type="fixed"/>
        <w:tblLook w:val="04A0"/>
      </w:tblPr>
      <w:tblGrid>
        <w:gridCol w:w="3998"/>
        <w:gridCol w:w="2171"/>
        <w:gridCol w:w="1333"/>
        <w:gridCol w:w="1318"/>
        <w:gridCol w:w="60"/>
      </w:tblGrid>
      <w:tr w:rsidR="00E944C2">
        <w:trPr>
          <w:cantSplit/>
          <w:trHeight w:val="570"/>
          <w:tblHeader/>
        </w:trPr>
        <w:tc>
          <w:tcPr>
            <w:tcW w:w="8880"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 </w:t>
            </w:r>
          </w:p>
        </w:tc>
      </w:tr>
      <w:tr w:rsidR="00E944C2">
        <w:trPr>
          <w:cantSplit/>
          <w:trHeight w:val="133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 xml:space="preserve">PROJEKAT BROJ 27 - </w:t>
            </w:r>
            <w:r>
              <w:rPr>
                <w:rFonts w:ascii="Times New Roman" w:eastAsia="Times New Roman" w:hAnsi="Times New Roman" w:cs="Times New Roman"/>
                <w:sz w:val="24"/>
                <w:szCs w:val="24"/>
              </w:rPr>
              <w:t>MULTIFUNKCIONALNI CENTAR ZA MLADE</w:t>
            </w:r>
          </w:p>
        </w:tc>
      </w:tr>
      <w:tr w:rsidR="00E944C2">
        <w:trPr>
          <w:cantSplit/>
          <w:trHeight w:val="811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E36C81">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Multifunkcionalni centar za mlade ima za cilj pružanje kvalitetnih prostornih kapaciteta mladima da se kreativno izraze, razvijaju svoje lične i profesionalne vještine, unapređuju neformalno obrazovanje i budu aktivni konzumenti kvalitetno kreiranih sadržaja/programa iz različitih oblasti koji su namijenjeni mladim ljudima.</w:t>
            </w:r>
          </w:p>
          <w:p w:rsidR="00E944C2" w:rsidRDefault="00F7666C" w:rsidP="00E36C81">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Indikatori:</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Izgrađen jedan Multifunkcionalni centar za mlade;</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Adaptirano najmanje pet odvojenih prostorija za održavanje različitih vidova aktivnosti/programa za mlade;</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5 hiljada mladih aktivnih korisnika Multifunkcionalnog centra;</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Povećana participacija mladih u društvenoj zajednici;</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Povećan broj aktivnosti za mlade;</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Povećani kapaciteti za razvoj omladinske politike;</w:t>
            </w:r>
          </w:p>
          <w:p w:rsidR="00E944C2" w:rsidRDefault="00F7666C" w:rsidP="00316155">
            <w:pPr>
              <w:pStyle w:val="Normal1"/>
              <w:spacing w:before="240" w:after="240"/>
              <w:ind w:left="360"/>
              <w:jc w:val="both"/>
              <w:rPr>
                <w:rFonts w:ascii="Times New Roman" w:eastAsia="Times New Roman" w:hAnsi="Times New Roman" w:cs="Times New Roman"/>
                <w:color w:val="FFFFFF"/>
                <w:sz w:val="24"/>
                <w:szCs w:val="24"/>
              </w:rPr>
            </w:pPr>
            <w:r>
              <w:rPr>
                <w:color w:val="FFFFFF"/>
                <w:sz w:val="24"/>
                <w:szCs w:val="24"/>
              </w:rPr>
              <w:t>·</w:t>
            </w:r>
            <w:r>
              <w:rPr>
                <w:rFonts w:ascii="Times New Roman" w:eastAsia="Times New Roman" w:hAnsi="Times New Roman" w:cs="Times New Roman"/>
                <w:color w:val="FFFFFF"/>
                <w:sz w:val="24"/>
                <w:szCs w:val="24"/>
              </w:rPr>
              <w:t>Osnaženi mladi.</w:t>
            </w:r>
          </w:p>
          <w:p w:rsidR="00E944C2" w:rsidRDefault="00E944C2" w:rsidP="00316155">
            <w:pPr>
              <w:pStyle w:val="Normal1"/>
              <w:spacing w:before="240" w:after="240"/>
              <w:jc w:val="both"/>
              <w:rPr>
                <w:rFonts w:ascii="Times New Roman" w:eastAsia="Times New Roman" w:hAnsi="Times New Roman" w:cs="Times New Roman"/>
                <w:b/>
                <w:color w:val="FFFFFF"/>
                <w:sz w:val="24"/>
                <w:szCs w:val="24"/>
              </w:rPr>
            </w:pPr>
          </w:p>
          <w:p w:rsidR="00E944C2" w:rsidRDefault="00E944C2" w:rsidP="00E36C81">
            <w:pPr>
              <w:pStyle w:val="Normal1"/>
              <w:spacing w:before="240" w:after="240"/>
              <w:jc w:val="both"/>
              <w:rPr>
                <w:rFonts w:ascii="Times New Roman" w:eastAsia="Times New Roman" w:hAnsi="Times New Roman" w:cs="Times New Roman"/>
                <w:b/>
                <w:color w:val="FFFFFF"/>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651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7F5DDB">
            <w:pPr>
              <w:pStyle w:val="Normal1"/>
              <w:spacing w:before="240" w:after="24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Uviđajući potrebe mladih, Glavnom gradu je potreban Multifunkcionalni centar.</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Multifunkcionalni centar treba da bude prepoznatljiv, dobro brendiran,  dostupan svima (vodeći računa o osobama sa invaliditetom), te adaptiran u nekom od prostora koji su neiskorišćeni, a u vlasništvu su Glavnog grada.</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Mlade je potrebno u što većoj mjeri animirati, pružiti im priliku da se kreativno izraze i jačaju neformalno obrazovanje, ali i da u ugodnom ambijentu Multifunkcionalnog centra rade na sticanju novih prijateljstava i razvijanju socijalnih vještina. Neophodno je da prostor posjeduje više odvojenih prostorija za organizaciju: edukacija, radionica, predavanja, seminara, kurseva, muzičkih radionica, filmskih radionica, filmskih projekcija, izložbi mladih umjetnika, predstava studenata, tematskih večeri. Kako bi mladi svakodnevno posjećivali Omladinski centar, pored edukativnih aktivnosti, treba obezbijediti prostor i uslove da se mladi zabave, odnosno mogućnost igranja pikada, stonog tenisa, šaha i sl.</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Ovaj prostor treba da bude i </w:t>
            </w:r>
            <w:r>
              <w:rPr>
                <w:rFonts w:ascii="Times New Roman" w:eastAsia="Times New Roman" w:hAnsi="Times New Roman" w:cs="Times New Roman"/>
                <w:i/>
                <w:sz w:val="24"/>
                <w:szCs w:val="24"/>
              </w:rPr>
              <w:t xml:space="preserve">“Info centar”, </w:t>
            </w:r>
            <w:r>
              <w:rPr>
                <w:rFonts w:ascii="Times New Roman" w:eastAsia="Times New Roman" w:hAnsi="Times New Roman" w:cs="Times New Roman"/>
                <w:sz w:val="24"/>
                <w:szCs w:val="24"/>
              </w:rPr>
              <w:t>odnosno mjesto gdje će se bolje informisati o servisima za mlade.</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Uz ovakav prostor, Kancelarija za mlade bi mnogo lakše sprovodila svoje aktivnosti, imala bi neposredankontakt sa mladim ljudima i bili bi u mogućnosti da realizujemo niz različitih aktivnosti na jednom mjestu.</w:t>
            </w:r>
          </w:p>
          <w:p w:rsidR="00E944C2" w:rsidRDefault="00F7666C" w:rsidP="007F5DDB">
            <w:pPr>
              <w:pStyle w:val="Normal1"/>
              <w:spacing w:before="240"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Vremenski okvir baziran je na 3 godine, uzprvugodinuizradeprojektnedokumentacije i dvijegodine realizacije aktivnosti.</w:t>
            </w:r>
          </w:p>
          <w:p w:rsidR="00E944C2" w:rsidRDefault="00F7666C" w:rsidP="007F5DDB">
            <w:pPr>
              <w:pStyle w:val="Normal1"/>
              <w:spacing w:before="240" w:after="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Vodeći partner/Nosilac projekta:</w:t>
            </w:r>
          </w:p>
          <w:p w:rsidR="00E944C2" w:rsidRDefault="00F7666C" w:rsidP="007F5DDB">
            <w:pPr>
              <w:pStyle w:val="Normal1"/>
              <w:spacing w:before="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 – Kancelarija za mlade</w:t>
            </w:r>
          </w:p>
          <w:p w:rsidR="00E944C2" w:rsidRDefault="00F7666C" w:rsidP="007F5DDB">
            <w:pPr>
              <w:pStyle w:val="Normal1"/>
              <w:spacing w:before="240" w:after="24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 Ministarstvo sporta i mladih, UNDP, UNICEF, UN, FAKT, Forum MNE, Delegacije EU, Evropska kuća</w:t>
            </w:r>
          </w:p>
          <w:p w:rsidR="00E944C2" w:rsidRDefault="00F7666C" w:rsidP="007F5DDB">
            <w:pPr>
              <w:pStyle w:val="Normal1"/>
              <w:spacing w:before="240" w:after="0" w:line="228"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Podnesenzahtjev za određivanjelokalcije</w:t>
            </w:r>
          </w:p>
          <w:p w:rsidR="00E944C2" w:rsidRDefault="00F7666C" w:rsidP="007F5DDB">
            <w:pPr>
              <w:pStyle w:val="Normal1"/>
              <w:spacing w:before="240" w:after="240" w:line="228"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w:t>
            </w:r>
          </w:p>
          <w:p w:rsidR="00E944C2" w:rsidRDefault="00F7666C" w:rsidP="007F5DDB">
            <w:pPr>
              <w:pStyle w:val="Normal1"/>
              <w:spacing w:before="240" w:after="240" w:line="228"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Projekat se nalazi u fazi inicijalnih priprema i dogovra aktera odgovornih za sprovođenje omladinske politike na lokalnom nivou sa gradskom upravom. Nakon konsultacija sa ekspertima iz oblasti omladinske politike iz zemalja članica EU, te obavljenog istraživanja među mladima, pristupiće se početnoj fazi izrade projekta, odnosno u prvom redu odabira najprikladnijih prostornih kapaciteta u vlasništvu Glavnog grada, te finansijske procjene za realizaciju projekta i njegove sadržaje. </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BUDŽET I IZVOR FINANSIRANJA                 </w:t>
            </w:r>
            <w:r>
              <w:rPr>
                <w:rFonts w:ascii="Times New Roman" w:eastAsia="Times New Roman" w:hAnsi="Times New Roman" w:cs="Times New Roman"/>
                <w:b/>
                <w:color w:val="FFFFFF"/>
                <w:sz w:val="24"/>
                <w:szCs w:val="24"/>
              </w:rPr>
              <w:tab/>
              <w:t>900.000€</w:t>
            </w:r>
          </w:p>
        </w:tc>
      </w:tr>
      <w:tr w:rsidR="00E944C2">
        <w:trPr>
          <w:cantSplit/>
          <w:trHeight w:val="435"/>
          <w:tblHeader/>
        </w:trPr>
        <w:tc>
          <w:tcPr>
            <w:tcW w:w="400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Privatnedonacije</w:t>
            </w:r>
          </w:p>
        </w:tc>
        <w:tc>
          <w:tcPr>
            <w:tcW w:w="217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33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2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920"/>
          <w:tblHeader/>
        </w:trPr>
        <w:tc>
          <w:tcPr>
            <w:tcW w:w="400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17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3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100.000€</w:t>
            </w:r>
          </w:p>
        </w:tc>
        <w:tc>
          <w:tcPr>
            <w:tcW w:w="132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Pr="003E254D" w:rsidRDefault="00F7666C" w:rsidP="00E36C81">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800.000€</w:t>
            </w:r>
          </w:p>
          <w:p w:rsidR="00E944C2" w:rsidRPr="003E254D" w:rsidRDefault="00F7666C" w:rsidP="00E36C81">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50.000€</w:t>
            </w:r>
          </w:p>
          <w:p w:rsidR="00E944C2" w:rsidRPr="003E254D" w:rsidRDefault="00E944C2" w:rsidP="00E36C81">
            <w:pPr>
              <w:pStyle w:val="Normal1"/>
              <w:spacing w:before="240" w:after="0" w:line="276" w:lineRule="auto"/>
              <w:jc w:val="both"/>
              <w:rPr>
                <w:rFonts w:ascii="Times New Roman" w:eastAsia="Times New Roman" w:hAnsi="Times New Roman" w:cs="Times New Roman"/>
              </w:rPr>
            </w:pP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55"/>
          <w:tblHeader/>
        </w:trPr>
        <w:tc>
          <w:tcPr>
            <w:tcW w:w="400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17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33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b/>
                <w:color w:val="FFFFFF"/>
              </w:rPr>
            </w:pPr>
            <w:r w:rsidRPr="003E254D">
              <w:rPr>
                <w:rFonts w:ascii="Times New Roman" w:eastAsia="Times New Roman" w:hAnsi="Times New Roman" w:cs="Times New Roman"/>
                <w:b/>
                <w:color w:val="FFFFFF"/>
              </w:rPr>
              <w:t>Datum početka</w:t>
            </w:r>
          </w:p>
        </w:tc>
        <w:tc>
          <w:tcPr>
            <w:tcW w:w="132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b/>
                <w:color w:val="FFFFFF"/>
              </w:rPr>
            </w:pPr>
            <w:r w:rsidRPr="003E254D">
              <w:rPr>
                <w:rFonts w:ascii="Times New Roman" w:eastAsia="Times New Roman" w:hAnsi="Times New Roman" w:cs="Times New Roman"/>
                <w:b/>
                <w:color w:val="FFFFFF"/>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440"/>
          <w:tblHeader/>
        </w:trPr>
        <w:tc>
          <w:tcPr>
            <w:tcW w:w="400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Izradaprojektnedokumentacije</w:t>
            </w:r>
          </w:p>
        </w:tc>
        <w:tc>
          <w:tcPr>
            <w:tcW w:w="21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3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 kvartal 2026</w:t>
            </w:r>
          </w:p>
        </w:tc>
        <w:tc>
          <w:tcPr>
            <w:tcW w:w="132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 kvartal 2026</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440"/>
          <w:tblHeader/>
        </w:trPr>
        <w:tc>
          <w:tcPr>
            <w:tcW w:w="400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Javnipoziv za izvođenjeradova</w:t>
            </w:r>
          </w:p>
        </w:tc>
        <w:tc>
          <w:tcPr>
            <w:tcW w:w="21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3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IIIkvartal 2026</w:t>
            </w:r>
          </w:p>
        </w:tc>
        <w:tc>
          <w:tcPr>
            <w:tcW w:w="132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2026</w:t>
            </w: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440"/>
          <w:tblHeader/>
        </w:trPr>
        <w:tc>
          <w:tcPr>
            <w:tcW w:w="400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Izvođenjeradova, opremanje i pripreme za otvaranje Multifunkcionalnog centra</w:t>
            </w:r>
          </w:p>
        </w:tc>
        <w:tc>
          <w:tcPr>
            <w:tcW w:w="21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3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2026</w:t>
            </w:r>
          </w:p>
        </w:tc>
        <w:tc>
          <w:tcPr>
            <w:tcW w:w="132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2027</w:t>
            </w: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440"/>
          <w:tblHeader/>
        </w:trPr>
        <w:tc>
          <w:tcPr>
            <w:tcW w:w="400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Po</w:t>
            </w:r>
            <w:r>
              <w:rPr>
                <w:rFonts w:ascii="Times New Roman" w:eastAsia="Times New Roman" w:hAnsi="Times New Roman" w:cs="Times New Roman"/>
                <w:sz w:val="24"/>
                <w:szCs w:val="24"/>
              </w:rPr>
              <w:t>četaksprovođenjaaktivnosti u Multifunkcionalnom centru</w:t>
            </w:r>
          </w:p>
        </w:tc>
        <w:tc>
          <w:tcPr>
            <w:tcW w:w="21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3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w:t>
            </w:r>
            <w:r w:rsidR="007F5DDB" w:rsidRPr="003E254D">
              <w:rPr>
                <w:rFonts w:ascii="Times New Roman" w:eastAsia="Times New Roman" w:hAnsi="Times New Roman" w:cs="Times New Roman"/>
              </w:rPr>
              <w:t xml:space="preserve"> </w:t>
            </w:r>
            <w:r w:rsidRPr="003E254D">
              <w:rPr>
                <w:rFonts w:ascii="Times New Roman" w:eastAsia="Times New Roman" w:hAnsi="Times New Roman" w:cs="Times New Roman"/>
              </w:rPr>
              <w:t>kvartal 2028</w:t>
            </w:r>
          </w:p>
        </w:tc>
        <w:tc>
          <w:tcPr>
            <w:tcW w:w="132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E944C2" w:rsidP="00316155">
            <w:pPr>
              <w:pStyle w:val="Normal1"/>
              <w:jc w:val="both"/>
            </w:pP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454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Dodatne napomene:</w:t>
            </w:r>
          </w:p>
          <w:p w:rsidR="00E944C2" w:rsidRDefault="00F7666C" w:rsidP="00E36C81">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Poseban akcenat treba staviti na primjere postojanja Multifunkcionalnih centara u zemljama članicama EU. Treba istaći primjer da je Ljubljana Strategijom za mlade (2016-2025) uvidjela potrebu da se stara fabrika </w:t>
            </w:r>
            <w:r>
              <w:rPr>
                <w:rFonts w:ascii="Times New Roman" w:eastAsia="Times New Roman" w:hAnsi="Times New Roman" w:cs="Times New Roman"/>
                <w:i/>
                <w:color w:val="FFFFFF"/>
                <w:sz w:val="24"/>
                <w:szCs w:val="24"/>
              </w:rPr>
              <w:t>“Cukrarna”</w:t>
            </w:r>
            <w:r>
              <w:rPr>
                <w:rFonts w:ascii="Times New Roman" w:eastAsia="Times New Roman" w:hAnsi="Times New Roman" w:cs="Times New Roman"/>
                <w:color w:val="FFFFFF"/>
                <w:sz w:val="24"/>
                <w:szCs w:val="24"/>
              </w:rPr>
              <w:t xml:space="preserve"> adaptira za potrebe novog Omladinskog centra. Ljubljanski Omladinski centar </w:t>
            </w:r>
            <w:r>
              <w:rPr>
                <w:rFonts w:ascii="Times New Roman" w:eastAsia="Times New Roman" w:hAnsi="Times New Roman" w:cs="Times New Roman"/>
                <w:i/>
                <w:color w:val="FFFFFF"/>
                <w:sz w:val="24"/>
                <w:szCs w:val="24"/>
              </w:rPr>
              <w:t>(na četiri sprata)</w:t>
            </w:r>
            <w:r>
              <w:rPr>
                <w:rFonts w:ascii="Times New Roman" w:eastAsia="Times New Roman" w:hAnsi="Times New Roman" w:cs="Times New Roman"/>
                <w:color w:val="FFFFFF"/>
                <w:sz w:val="24"/>
                <w:szCs w:val="24"/>
              </w:rPr>
              <w:t xml:space="preserve"> uključuje sve nivoe aktivnosti mladih – druženje, umrežavanje, saradnju, kreativnost i angažman.</w:t>
            </w:r>
          </w:p>
          <w:p w:rsidR="00E944C2" w:rsidRDefault="00F7666C" w:rsidP="00E36C81">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Vizija novog Omladinskog/Multifunkcionalnog centra zasniva se na participativnoj praksi uključivanja mladih u procese djelovanja – participacije, ko-kreacije, ko-dizajna.</w:t>
            </w:r>
          </w:p>
          <w:p w:rsidR="00E944C2" w:rsidRDefault="00F7666C" w:rsidP="00E36C81">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Stoga je neophodno da Glavni grad Podgorica dobije jedan ovakav centar gdje će mladi ljudi imati priliku da se kreativno izraze i unapređuju svoje vještine i kompetencije.</w:t>
            </w: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24"/>
        <w:tblW w:w="9359" w:type="dxa"/>
        <w:tblInd w:w="20" w:type="dxa"/>
        <w:tblLayout w:type="fixed"/>
        <w:tblLook w:val="04A0"/>
      </w:tblPr>
      <w:tblGrid>
        <w:gridCol w:w="3658"/>
        <w:gridCol w:w="2268"/>
        <w:gridCol w:w="1701"/>
        <w:gridCol w:w="1672"/>
        <w:gridCol w:w="60"/>
      </w:tblGrid>
      <w:tr w:rsidR="00E944C2">
        <w:trPr>
          <w:cantSplit/>
          <w:trHeight w:val="570"/>
          <w:tblHeader/>
        </w:trPr>
        <w:tc>
          <w:tcPr>
            <w:tcW w:w="9359"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w:t>
            </w:r>
          </w:p>
        </w:tc>
      </w:tr>
      <w:tr w:rsidR="00E944C2">
        <w:trPr>
          <w:cantSplit/>
          <w:trHeight w:val="1860"/>
          <w:tblHeader/>
        </w:trPr>
        <w:tc>
          <w:tcPr>
            <w:tcW w:w="9359"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28 – </w:t>
            </w:r>
            <w:r>
              <w:rPr>
                <w:rFonts w:ascii="Times New Roman" w:eastAsia="Times New Roman" w:hAnsi="Times New Roman" w:cs="Times New Roman"/>
                <w:sz w:val="24"/>
                <w:szCs w:val="24"/>
              </w:rPr>
              <w:t>OSNIVANJE KLUBA PENZIONERA GLAVNOG GRADA</w:t>
            </w:r>
          </w:p>
        </w:tc>
      </w:tr>
      <w:tr w:rsidR="00E944C2">
        <w:trPr>
          <w:cantSplit/>
          <w:trHeight w:val="3660"/>
          <w:tblHeader/>
        </w:trPr>
        <w:tc>
          <w:tcPr>
            <w:tcW w:w="9359"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Inkluzija penzionerske populacije u  društvenoj zajednici i upotpunjavanje njihovog slobodnog vremena na adekvatan način.</w:t>
            </w:r>
          </w:p>
          <w:p w:rsidR="00E944C2" w:rsidRDefault="00F7666C" w:rsidP="00316155">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Indikator:</w:t>
            </w:r>
          </w:p>
          <w:p w:rsidR="00E944C2" w:rsidRDefault="00F7666C" w:rsidP="00316155">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Opremljena dva kluba penzionera na dvije lokacije u gradu.</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5300"/>
          <w:tblHeader/>
        </w:trPr>
        <w:tc>
          <w:tcPr>
            <w:tcW w:w="9359"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Cilj osnivanja klubova penzionera jeste poboljšanje kvaliteta života penzionisanih osoba, pružajući im prilike za socijalizaciju, edukaciju i rekreaciju.  Kroz osnivanje klubova penzionera u Glavnom gradu nastoji se postići:      </w:t>
            </w:r>
            <w:r>
              <w:rPr>
                <w:rFonts w:ascii="Times New Roman" w:eastAsia="Times New Roman" w:hAnsi="Times New Roman" w:cs="Times New Roman"/>
                <w:sz w:val="24"/>
                <w:szCs w:val="24"/>
              </w:rPr>
              <w:tab/>
            </w:r>
          </w:p>
          <w:p w:rsidR="00E944C2" w:rsidRDefault="00F7666C" w:rsidP="00E36C81">
            <w:pPr>
              <w:pStyle w:val="Normal1"/>
              <w:spacing w:before="240" w:after="240"/>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Socijalizacija - klubovi penzionera mogu pružiti prostor za druženje i sklapanje novih prijateljstava, čime se u velikoj mjeri može smanjiti osjećaj usamljenosti i izolacije kod starije populacije.</w:t>
            </w:r>
          </w:p>
          <w:p w:rsidR="00E944C2" w:rsidRDefault="00F7666C" w:rsidP="00E36C81">
            <w:pPr>
              <w:pStyle w:val="Normal1"/>
              <w:spacing w:before="240" w:after="240"/>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Aktivno starenje - kroz razne aktivnosti, radionice i događaje, klubovi bi podstakli penzionere da ostanu aktivni i uključeni u zajednicu, što doprinosi njihovom fizičkom i mentalnom zdravlju.</w:t>
            </w:r>
          </w:p>
          <w:p w:rsidR="00E944C2" w:rsidRDefault="00F7666C" w:rsidP="00E36C81">
            <w:pPr>
              <w:pStyle w:val="Normal1"/>
              <w:spacing w:before="240" w:after="240"/>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Edukacija - organizovanje edukativnih programa, eventualnih predavanja i kurseva omogućavajući penzionerima da steknu nova znanja i vještine, što može biti korisno i stimulativno.</w:t>
            </w:r>
          </w:p>
          <w:p w:rsidR="00E944C2" w:rsidRDefault="00F7666C" w:rsidP="00E36C81">
            <w:pPr>
              <w:pStyle w:val="Normal1"/>
              <w:spacing w:before="240" w:after="240"/>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Kulturne i rekreativne aktivnosti - pružanje mogućnosti za učešće u kulturnim i rekreativnim aktivnostima, kao što su recimo posjete muzejima u Glavnom gradu, pozorištu i slično.</w:t>
            </w:r>
          </w:p>
          <w:p w:rsidR="00E944C2" w:rsidRDefault="00F7666C" w:rsidP="00E36C81">
            <w:pPr>
              <w:pStyle w:val="Normal1"/>
              <w:spacing w:before="240" w:after="240"/>
              <w:ind w:left="360"/>
              <w:jc w:val="both"/>
              <w:rPr>
                <w:rFonts w:ascii="Times New Roman" w:eastAsia="Times New Roman" w:hAnsi="Times New Roman" w:cs="Times New Roman"/>
                <w:sz w:val="24"/>
                <w:szCs w:val="24"/>
              </w:rPr>
            </w:pPr>
            <w:r>
              <w:rPr>
                <w:sz w:val="24"/>
                <w:szCs w:val="24"/>
              </w:rPr>
              <w:t>·</w:t>
            </w:r>
            <w:r>
              <w:rPr>
                <w:rFonts w:ascii="Times New Roman" w:eastAsia="Times New Roman" w:hAnsi="Times New Roman" w:cs="Times New Roman"/>
                <w:sz w:val="24"/>
                <w:szCs w:val="24"/>
              </w:rPr>
              <w:t>Volonterizam i angažman u zajednici - klubovi mogu organizovati volonterske aktivnosti kroz koje penzioneri mogu doprinijeti svojoj zajednici, što im može pružiti osjećaj svrhe i korisnosti.</w:t>
            </w:r>
          </w:p>
          <w:p w:rsidR="00E944C2" w:rsidRDefault="00F7666C" w:rsidP="00E36C81">
            <w:pPr>
              <w:pStyle w:val="Normal1"/>
              <w:spacing w:before="240" w:after="240"/>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Osnivanjem klubova penzionera stvara se podržavajuća sredina koja omogućava starijim osobama da nastave da vode ispunjen i aktivan život, doprinoseći njihovom cjelokupnom blagostanju, zbog čega bi u realizaciju trebalo da bude uključen i Sekretarijat za socijalno staranje. Sa realizacijom projekta bi se krenulo u toku 2025. godine, a sprovođenje aktivnosti predviđenih projektom, nastavilo bi se u kontinuitetu tokom 2026. i 2027. godine.</w:t>
            </w:r>
          </w:p>
          <w:p w:rsidR="00E944C2" w:rsidRDefault="00F7666C" w:rsidP="00E36C81">
            <w:pPr>
              <w:pStyle w:val="Normal1"/>
              <w:spacing w:before="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Vodeći partner/Nosilac projekta:</w:t>
            </w:r>
          </w:p>
          <w:p w:rsidR="00E944C2" w:rsidRDefault="00F7666C">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 Glavnog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n/a</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Trenutno stanje u vezi sa realizacijom plana adaptacije klubova penzionera, podrazumijeva idejnufazu, tj.pripremuinicjialnog</w:t>
            </w:r>
            <w:r>
              <w:rPr>
                <w:rFonts w:ascii="Times New Roman" w:eastAsia="Times New Roman" w:hAnsi="Times New Roman" w:cs="Times New Roman"/>
                <w:b/>
                <w:sz w:val="24"/>
                <w:szCs w:val="24"/>
              </w:rPr>
              <w:t>is</w:t>
            </w:r>
            <w:r>
              <w:rPr>
                <w:b/>
                <w:sz w:val="24"/>
                <w:szCs w:val="24"/>
              </w:rPr>
              <w:t>traživanjapotreba penzionera i sprovođenje studije izvodljivosti. Važan segment pripremnog dijela odnosi se na a</w:t>
            </w:r>
            <w:r>
              <w:rPr>
                <w:rFonts w:ascii="Times New Roman" w:eastAsia="Times New Roman" w:hAnsi="Times New Roman" w:cs="Times New Roman"/>
                <w:sz w:val="24"/>
                <w:szCs w:val="24"/>
              </w:rPr>
              <w:t>nalizu demografskih podataka, postojećih resursa i potencijalnih izazova. Takođe, pripremna faza obuhvata identifikaciju adekvatnog prostora, pri čemu se vodi računa o mobilnosti penzionera i dostupnosti javnog prevoza.</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Ključan aspekt pripremne faze, predstavlja i davanje odgovora na pitanje finansiranja i budžetiranja, odnosno definisanja sredstava koja će biti opredijeljena za realizaciju projekta.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9359"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BUDŽET I IZVOR FINANSIRANJA               </w:t>
            </w:r>
            <w:r>
              <w:rPr>
                <w:rFonts w:ascii="Times New Roman" w:eastAsia="Times New Roman" w:hAnsi="Times New Roman" w:cs="Times New Roman"/>
                <w:b/>
                <w:color w:val="FFFFFF"/>
                <w:sz w:val="24"/>
                <w:szCs w:val="24"/>
              </w:rPr>
              <w:tab/>
              <w:t>300.000 €</w:t>
            </w:r>
          </w:p>
        </w:tc>
      </w:tr>
      <w:tr w:rsidR="00E944C2" w:rsidTr="003E254D">
        <w:trPr>
          <w:cantSplit/>
          <w:trHeight w:val="435"/>
          <w:tblHeader/>
        </w:trPr>
        <w:tc>
          <w:tcPr>
            <w:tcW w:w="3658"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268"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701"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672"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870"/>
          <w:tblHeader/>
        </w:trPr>
        <w:tc>
          <w:tcPr>
            <w:tcW w:w="3658"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268"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br/>
            </w:r>
            <w:r>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701"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150.000€</w:t>
            </w:r>
          </w:p>
        </w:tc>
        <w:tc>
          <w:tcPr>
            <w:tcW w:w="1672"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Pr="003E254D" w:rsidRDefault="00F7666C" w:rsidP="00E36C81">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150.000€</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855"/>
          <w:tblHeader/>
        </w:trPr>
        <w:tc>
          <w:tcPr>
            <w:tcW w:w="3658"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268"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701"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b/>
                <w:color w:val="FFFFFF"/>
              </w:rPr>
            </w:pPr>
            <w:r w:rsidRPr="003E254D">
              <w:rPr>
                <w:rFonts w:ascii="Times New Roman" w:eastAsia="Times New Roman" w:hAnsi="Times New Roman" w:cs="Times New Roman"/>
                <w:b/>
                <w:color w:val="FFFFFF"/>
              </w:rPr>
              <w:t>Datum početka</w:t>
            </w:r>
          </w:p>
        </w:tc>
        <w:tc>
          <w:tcPr>
            <w:tcW w:w="1672"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b/>
                <w:color w:val="FFFFFF"/>
              </w:rPr>
            </w:pPr>
            <w:r w:rsidRPr="003E254D">
              <w:rPr>
                <w:rFonts w:ascii="Times New Roman" w:eastAsia="Times New Roman" w:hAnsi="Times New Roman" w:cs="Times New Roman"/>
                <w:b/>
                <w:color w:val="FFFFFF"/>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3330"/>
          <w:tblHeader/>
        </w:trPr>
        <w:tc>
          <w:tcPr>
            <w:tcW w:w="365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Planiranje projekta i definisanje ciljeva na osnovu rezultata dobijenih kroz pripremnu fazu – odabir prostornih kapaciteta.</w:t>
            </w:r>
          </w:p>
          <w:p w:rsidR="00E944C2" w:rsidRDefault="00E944C2" w:rsidP="00E36C81">
            <w:pPr>
              <w:pStyle w:val="Normal1"/>
              <w:spacing w:before="240" w:line="276" w:lineRule="auto"/>
              <w:jc w:val="both"/>
              <w:rPr>
                <w:rFonts w:ascii="Arial" w:eastAsia="Arial" w:hAnsi="Arial" w:cs="Arial"/>
                <w:sz w:val="20"/>
                <w:szCs w:val="20"/>
              </w:rPr>
            </w:pPr>
          </w:p>
        </w:tc>
        <w:tc>
          <w:tcPr>
            <w:tcW w:w="226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w:t>
            </w:r>
          </w:p>
        </w:tc>
        <w:tc>
          <w:tcPr>
            <w:tcW w:w="170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2025</w:t>
            </w:r>
          </w:p>
        </w:tc>
        <w:tc>
          <w:tcPr>
            <w:tcW w:w="167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 kvartal 2026</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3330"/>
          <w:tblHeader/>
        </w:trPr>
        <w:tc>
          <w:tcPr>
            <w:tcW w:w="365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Nabavka opreme i adaptacija prostora klubova penzionera</w:t>
            </w:r>
          </w:p>
        </w:tc>
        <w:tc>
          <w:tcPr>
            <w:tcW w:w="226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w:t>
            </w:r>
          </w:p>
        </w:tc>
        <w:tc>
          <w:tcPr>
            <w:tcW w:w="170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 kvartal 2026</w:t>
            </w:r>
          </w:p>
        </w:tc>
        <w:tc>
          <w:tcPr>
            <w:tcW w:w="167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 kvartal 2027</w:t>
            </w: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3330"/>
          <w:tblHeader/>
        </w:trPr>
        <w:tc>
          <w:tcPr>
            <w:tcW w:w="365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Finalizovanje</w:t>
            </w:r>
            <w:r w:rsidR="003E25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radova i osmišljavanje sadržaja koji će biti dostupni u okviru penzionerskih klubova.</w:t>
            </w:r>
          </w:p>
          <w:p w:rsidR="00E944C2" w:rsidRDefault="00E944C2" w:rsidP="00316155">
            <w:pPr>
              <w:pStyle w:val="Normal1"/>
              <w:spacing w:before="240" w:after="240"/>
              <w:ind w:firstLine="200"/>
              <w:jc w:val="both"/>
              <w:rPr>
                <w:rFonts w:ascii="Arial" w:eastAsia="Arial" w:hAnsi="Arial" w:cs="Arial"/>
                <w:sz w:val="20"/>
                <w:szCs w:val="20"/>
              </w:rPr>
            </w:pPr>
          </w:p>
        </w:tc>
        <w:tc>
          <w:tcPr>
            <w:tcW w:w="226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w:t>
            </w:r>
          </w:p>
        </w:tc>
        <w:tc>
          <w:tcPr>
            <w:tcW w:w="170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 kvartal 2027</w:t>
            </w:r>
          </w:p>
        </w:tc>
        <w:tc>
          <w:tcPr>
            <w:tcW w:w="167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2027</w:t>
            </w: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E254D">
        <w:trPr>
          <w:cantSplit/>
          <w:trHeight w:val="3330"/>
          <w:tblHeader/>
        </w:trPr>
        <w:tc>
          <w:tcPr>
            <w:tcW w:w="365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Ispunjavanje</w:t>
            </w:r>
            <w:r w:rsidR="003E25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internih</w:t>
            </w:r>
            <w:r w:rsidR="003E25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procedura i definisanje godišnjeg plana rada klubova</w:t>
            </w:r>
          </w:p>
        </w:tc>
        <w:tc>
          <w:tcPr>
            <w:tcW w:w="226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socijalno staranje</w:t>
            </w:r>
          </w:p>
        </w:tc>
        <w:tc>
          <w:tcPr>
            <w:tcW w:w="170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kvartal 2028</w:t>
            </w:r>
          </w:p>
        </w:tc>
        <w:tc>
          <w:tcPr>
            <w:tcW w:w="167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bl>
    <w:p w:rsidR="002F3E03" w:rsidRDefault="002F3E03"/>
    <w:tbl>
      <w:tblPr>
        <w:tblStyle w:val="24"/>
        <w:tblW w:w="9359" w:type="dxa"/>
        <w:tblInd w:w="20" w:type="dxa"/>
        <w:tblLayout w:type="fixed"/>
        <w:tblLook w:val="04A0"/>
      </w:tblPr>
      <w:tblGrid>
        <w:gridCol w:w="9359"/>
      </w:tblGrid>
      <w:tr w:rsidR="00E944C2">
        <w:trPr>
          <w:cantSplit/>
          <w:trHeight w:val="4275"/>
          <w:tblHeader/>
        </w:trPr>
        <w:tc>
          <w:tcPr>
            <w:tcW w:w="9359"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w:t>
            </w:r>
            <w:r w:rsidR="002F3E03">
              <w:rPr>
                <w:rFonts w:ascii="Times New Roman" w:eastAsia="Times New Roman" w:hAnsi="Times New Roman" w:cs="Times New Roman"/>
                <w:b/>
                <w:color w:val="FFFFFF"/>
                <w:sz w:val="24"/>
                <w:szCs w:val="24"/>
              </w:rPr>
              <w:t xml:space="preserve">a </w:t>
            </w:r>
            <w:r>
              <w:rPr>
                <w:rFonts w:ascii="Times New Roman" w:eastAsia="Times New Roman" w:hAnsi="Times New Roman" w:cs="Times New Roman"/>
                <w:b/>
                <w:color w:val="FFFFFF"/>
                <w:sz w:val="24"/>
                <w:szCs w:val="24"/>
              </w:rPr>
              <w:t>napomen</w:t>
            </w:r>
            <w:r w:rsidR="002F3E03">
              <w:rPr>
                <w:rFonts w:ascii="Times New Roman" w:eastAsia="Times New Roman" w:hAnsi="Times New Roman" w:cs="Times New Roman"/>
                <w:b/>
                <w:color w:val="FFFFFF"/>
                <w:sz w:val="24"/>
                <w:szCs w:val="24"/>
              </w:rPr>
              <w:t>a</w:t>
            </w:r>
            <w:r>
              <w:rPr>
                <w:rFonts w:ascii="Times New Roman" w:eastAsia="Times New Roman" w:hAnsi="Times New Roman" w:cs="Times New Roman"/>
                <w:b/>
                <w:color w:val="FFFFFF"/>
                <w:sz w:val="24"/>
                <w:szCs w:val="24"/>
              </w:rPr>
              <w:t>:</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E36C81">
            <w:pPr>
              <w:pStyle w:val="Heading3"/>
              <w:keepNext w:val="0"/>
              <w:keepLines w:val="0"/>
              <w:spacing w:before="280" w:after="80"/>
              <w:ind w:left="0" w:firstLine="0"/>
              <w:jc w:val="both"/>
              <w:rPr>
                <w:rFonts w:ascii="Calibri" w:eastAsia="Calibri" w:hAnsi="Calibri" w:cs="Calibri"/>
                <w:color w:val="FFFFFF"/>
              </w:rPr>
            </w:pPr>
            <w:bookmarkStart w:id="129" w:name="_t8gdgyizq1og" w:colFirst="0" w:colLast="0"/>
            <w:bookmarkStart w:id="130" w:name="_Toc212028134"/>
            <w:bookmarkStart w:id="131" w:name="_Toc212035830"/>
            <w:bookmarkStart w:id="132" w:name="_Toc212039605"/>
            <w:bookmarkEnd w:id="129"/>
            <w:r>
              <w:rPr>
                <w:rFonts w:ascii="Calibri" w:eastAsia="Calibri" w:hAnsi="Calibri" w:cs="Calibri"/>
                <w:color w:val="FFFFFF"/>
              </w:rPr>
              <w:t>Adaptacija klubova penzionera planirana je na dvije lokacije u okviru centra grada (Nova Varoš) i na području Preko Morače. Funkcionisanje klubova penzionera, osim pomenutih prioritetnih oblasti, uključivaće i eventualno digitalnu integraciju kroz upoznavanje sa online platformama i aplikacijama dostupnim na nivou grada.</w:t>
            </w:r>
            <w:bookmarkEnd w:id="130"/>
            <w:bookmarkEnd w:id="131"/>
            <w:bookmarkEnd w:id="132"/>
          </w:p>
          <w:p w:rsidR="00E944C2" w:rsidRDefault="00F7666C" w:rsidP="00E36C81">
            <w:pPr>
              <w:pStyle w:val="Heading3"/>
              <w:keepNext w:val="0"/>
              <w:keepLines w:val="0"/>
              <w:spacing w:before="280" w:after="80"/>
              <w:ind w:left="0" w:firstLine="0"/>
              <w:jc w:val="both"/>
              <w:rPr>
                <w:rFonts w:ascii="Calibri" w:eastAsia="Calibri" w:hAnsi="Calibri" w:cs="Calibri"/>
                <w:color w:val="FFFFFF"/>
              </w:rPr>
            </w:pPr>
            <w:bookmarkStart w:id="133" w:name="_rqt8kfzdd775" w:colFirst="0" w:colLast="0"/>
            <w:bookmarkStart w:id="134" w:name="_Toc212028135"/>
            <w:bookmarkStart w:id="135" w:name="_Toc212035831"/>
            <w:bookmarkStart w:id="136" w:name="_Toc212039606"/>
            <w:bookmarkEnd w:id="133"/>
            <w:r>
              <w:rPr>
                <w:rFonts w:ascii="Calibri" w:eastAsia="Calibri" w:hAnsi="Calibri" w:cs="Calibri"/>
                <w:color w:val="FFFFFF"/>
              </w:rPr>
              <w:t>Osim toga, fokus će biti i na realizaciji multigeneracijskih aktivnosti, kroz partnerstva sa školama i univerzitetima. Isto može podrazumijevati organizovanje zajedničkih aktivnosti, radionica i događaja koji uključuju mlađe i starije sugrađane, čime se promoviše razmjena znanja i iskustava.</w:t>
            </w:r>
            <w:bookmarkEnd w:id="134"/>
            <w:bookmarkEnd w:id="135"/>
            <w:bookmarkEnd w:id="136"/>
          </w:p>
          <w:p w:rsidR="00E944C2" w:rsidRDefault="00E944C2" w:rsidP="00316155">
            <w:pPr>
              <w:pStyle w:val="Heading3"/>
              <w:keepNext w:val="0"/>
              <w:keepLines w:val="0"/>
              <w:spacing w:before="280" w:after="80"/>
              <w:ind w:left="0" w:firstLine="0"/>
              <w:jc w:val="both"/>
              <w:rPr>
                <w:rFonts w:ascii="Arial" w:eastAsia="Arial" w:hAnsi="Arial" w:cs="Arial"/>
                <w:color w:val="000000"/>
                <w:sz w:val="26"/>
                <w:szCs w:val="26"/>
              </w:rPr>
            </w:pPr>
            <w:bookmarkStart w:id="137" w:name="_1itc1d42xxpk" w:colFirst="0" w:colLast="0"/>
            <w:bookmarkEnd w:id="137"/>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23"/>
        <w:tblW w:w="8880" w:type="dxa"/>
        <w:tblInd w:w="20" w:type="dxa"/>
        <w:tblLayout w:type="fixed"/>
        <w:tblLook w:val="04A0"/>
      </w:tblPr>
      <w:tblGrid>
        <w:gridCol w:w="8880"/>
      </w:tblGrid>
      <w:tr w:rsidR="00E944C2">
        <w:trPr>
          <w:cantSplit/>
          <w:trHeight w:val="570"/>
          <w:tblHeader/>
        </w:trPr>
        <w:tc>
          <w:tcPr>
            <w:tcW w:w="8880" w:type="dxa"/>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w:t>
            </w:r>
          </w:p>
        </w:tc>
      </w:tr>
      <w:tr w:rsidR="00E944C2">
        <w:trPr>
          <w:cantSplit/>
          <w:trHeight w:val="133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29 – </w:t>
            </w:r>
            <w:r>
              <w:rPr>
                <w:rFonts w:ascii="Times New Roman" w:eastAsia="Times New Roman" w:hAnsi="Times New Roman" w:cs="Times New Roman"/>
                <w:sz w:val="24"/>
                <w:szCs w:val="24"/>
              </w:rPr>
              <w:t>ZAVRŠETAK SPOMEN KUĆE VELJKA VLAHOVIĆA - TRMANJE</w:t>
            </w:r>
          </w:p>
        </w:tc>
      </w:tr>
      <w:tr w:rsidR="00E944C2">
        <w:trPr>
          <w:cantSplit/>
          <w:trHeight w:val="2640"/>
          <w:tblHeader/>
        </w:trPr>
        <w:tc>
          <w:tcPr>
            <w:tcW w:w="888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očuvanje istorijskog nasljeđa, simbola lokalne zajednice, te razvoj kulturnog turizma u okviru pomenutog dijela grada.</w:t>
            </w:r>
          </w:p>
          <w:p w:rsidR="00E944C2" w:rsidRDefault="00F7666C" w:rsidP="00316155">
            <w:pPr>
              <w:pStyle w:val="Normal1"/>
              <w:spacing w:before="240" w:after="24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Indikator:</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Rekonstruisana i adaptirana spomen- kuća Veljka Vlahovića</w:t>
            </w:r>
          </w:p>
        </w:tc>
      </w:tr>
      <w:tr w:rsidR="00E944C2">
        <w:trPr>
          <w:cantSplit/>
          <w:trHeight w:val="1150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b/>
                <w:sz w:val="24"/>
                <w:szCs w:val="24"/>
              </w:rPr>
              <w:t>Projekat završetka spomen-kuće Veljka Vlahovića</w:t>
            </w:r>
            <w:r>
              <w:rPr>
                <w:rFonts w:ascii="Times New Roman" w:eastAsia="Times New Roman" w:hAnsi="Times New Roman" w:cs="Times New Roman"/>
                <w:sz w:val="24"/>
                <w:szCs w:val="24"/>
              </w:rPr>
              <w:t xml:space="preserve"> za cilj ima očuvanje, promociju i prezentaciju bogatog istorijskog i kulturnog nasljeđa jednog od najistaknutijih crnogorskih i jugoslovenskih političkih lidera, kroz stvaranje multifunkcionalnog prostora namijenjenog edukaciji, kulturnim aktivnostima i istraživanju. Projekat ima za cilj da kroz obnovu i adaptaciju kuće stvori autentičan ambijent koji će omogućiti posjetiocima da se upoznaju sa životom, radom i vrijednostima Veljka Vlahovića, uz istovremeni doprinos razvoju kulturnog turizma i lokalne zajednice u Trmanju. Pored toga, prostor će služiti kao centar za očuvanje kolektivnog sjećanja i promociju univerzalnih vrijednosti poput slobode, jednakosti i socijalne pravde, koje su bile temeljni principi za koje se Vlahović zalagao.</w:t>
            </w:r>
          </w:p>
          <w:p w:rsidR="00E944C2" w:rsidRDefault="00F7666C" w:rsidP="00E36C81">
            <w:pPr>
              <w:pStyle w:val="Normal1"/>
              <w:spacing w:before="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Vodeći partner/Nosilac projekta:</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w:t>
            </w:r>
          </w:p>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izgradnju i razvoj Podgorice</w:t>
            </w:r>
          </w:p>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Agencija za stanovanje</w:t>
            </w:r>
          </w:p>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Glavni grad</w:t>
            </w:r>
          </w:p>
          <w:p w:rsidR="00E944C2" w:rsidRDefault="00F7666C" w:rsidP="00316155">
            <w:pPr>
              <w:pStyle w:val="Normal1"/>
              <w:spacing w:before="240" w:after="240"/>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Trenutno stanje u vezi sa realizacijom plana</w:t>
            </w:r>
            <w:r w:rsidR="006A03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realizacije</w:t>
            </w:r>
            <w:r w:rsidR="006A03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podrazumijeva</w:t>
            </w:r>
            <w:r w:rsidR="006A03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analizu</w:t>
            </w:r>
            <w:r w:rsidR="006A03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tre</w:t>
            </w:r>
            <w:r w:rsidR="006A0398">
              <w:rPr>
                <w:rFonts w:ascii="Times New Roman" w:eastAsia="Times New Roman" w:hAnsi="Times New Roman" w:cs="Times New Roman"/>
                <w:sz w:val="24"/>
                <w:szCs w:val="24"/>
              </w:rPr>
              <w:t>n</w:t>
            </w:r>
            <w:r>
              <w:rPr>
                <w:rFonts w:ascii="Times New Roman" w:eastAsia="Times New Roman" w:hAnsi="Times New Roman" w:cs="Times New Roman"/>
                <w:sz w:val="24"/>
                <w:szCs w:val="24"/>
              </w:rPr>
              <w:t>utnog</w:t>
            </w:r>
            <w:r w:rsidR="006A0398">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stanja.</w:t>
            </w:r>
            <w:r>
              <w:rPr>
                <w:b/>
                <w:sz w:val="24"/>
                <w:szCs w:val="24"/>
              </w:rPr>
              <w:t>. Važan segment pripremnog dijela odnosi se na a</w:t>
            </w:r>
            <w:r>
              <w:rPr>
                <w:rFonts w:ascii="Times New Roman" w:eastAsia="Times New Roman" w:hAnsi="Times New Roman" w:cs="Times New Roman"/>
                <w:sz w:val="24"/>
                <w:szCs w:val="24"/>
              </w:rPr>
              <w:t xml:space="preserve">nalizupostojećih resursa i potencijalnih izazova. Ključanaspektpripremne faze, predstavlja i davanje odgovora na pitanje finansiranja i budžetiranja, odnosno definisanja sredstava koja će biti opredijeljena za realizaciju projekta.  </w:t>
            </w:r>
          </w:p>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Ključan aspekt pripremne faze, predstavlja i davanje odgovora na pitanje finansiranja i budžetiranja, odnosno definisanja sredstava koja će biti opredijeljena za realizaciju projekta.</w:t>
            </w:r>
            <w:r>
              <w:rPr>
                <w:rFonts w:ascii="Times New Roman" w:eastAsia="Times New Roman" w:hAnsi="Times New Roman" w:cs="Times New Roman"/>
                <w:sz w:val="24"/>
                <w:szCs w:val="24"/>
              </w:rPr>
              <w:tab/>
            </w:r>
          </w:p>
        </w:tc>
      </w:tr>
    </w:tbl>
    <w:p w:rsidR="002F3E03" w:rsidRDefault="002F3E03"/>
    <w:tbl>
      <w:tblPr>
        <w:tblStyle w:val="23"/>
        <w:tblW w:w="8880" w:type="dxa"/>
        <w:tblInd w:w="20" w:type="dxa"/>
        <w:tblLayout w:type="fixed"/>
        <w:tblLook w:val="04A0"/>
      </w:tblPr>
      <w:tblGrid>
        <w:gridCol w:w="3848"/>
        <w:gridCol w:w="2426"/>
        <w:gridCol w:w="1288"/>
        <w:gridCol w:w="1258"/>
        <w:gridCol w:w="60"/>
      </w:tblGrid>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5"/>
          <w:tblHeader/>
        </w:trPr>
        <w:tc>
          <w:tcPr>
            <w:tcW w:w="3848"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42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288"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25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585"/>
          <w:tblHeader/>
        </w:trPr>
        <w:tc>
          <w:tcPr>
            <w:tcW w:w="3848"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42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8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100.000</w:t>
            </w:r>
          </w:p>
        </w:tc>
        <w:tc>
          <w:tcPr>
            <w:tcW w:w="125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855"/>
          <w:tblHeader/>
        </w:trPr>
        <w:tc>
          <w:tcPr>
            <w:tcW w:w="3848"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426"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288"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25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870"/>
          <w:tblHeader/>
        </w:trPr>
        <w:tc>
          <w:tcPr>
            <w:tcW w:w="384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Planiranje projekta i definisanje ciljeva na osnovu rezultata dobijenih kroz pripremnu fazu</w:t>
            </w:r>
          </w:p>
        </w:tc>
        <w:tc>
          <w:tcPr>
            <w:tcW w:w="24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28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 kvartal 2026</w:t>
            </w:r>
          </w:p>
        </w:tc>
        <w:tc>
          <w:tcPr>
            <w:tcW w:w="125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 kvartal 2026</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870"/>
          <w:tblHeader/>
        </w:trPr>
        <w:tc>
          <w:tcPr>
            <w:tcW w:w="384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Nabavka opreme i adaptacija prostora</w:t>
            </w:r>
          </w:p>
        </w:tc>
        <w:tc>
          <w:tcPr>
            <w:tcW w:w="24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28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2026</w:t>
            </w:r>
          </w:p>
        </w:tc>
        <w:tc>
          <w:tcPr>
            <w:tcW w:w="125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 kvartal 2026</w:t>
            </w: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2055"/>
          <w:tblHeader/>
        </w:trPr>
        <w:tc>
          <w:tcPr>
            <w:tcW w:w="384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Finalizovanje radova i osmišljavanje sadržaja koji će biti dostupni u okviru multifunkcionalnog centra MZ “1. maj”</w:t>
            </w:r>
          </w:p>
          <w:p w:rsidR="00E944C2" w:rsidRDefault="00E944C2" w:rsidP="00316155">
            <w:pPr>
              <w:pStyle w:val="Normal1"/>
              <w:spacing w:before="240" w:after="240"/>
              <w:jc w:val="both"/>
              <w:rPr>
                <w:rFonts w:ascii="Arial" w:eastAsia="Arial" w:hAnsi="Arial" w:cs="Arial"/>
                <w:sz w:val="20"/>
                <w:szCs w:val="20"/>
              </w:rPr>
            </w:pPr>
          </w:p>
        </w:tc>
        <w:tc>
          <w:tcPr>
            <w:tcW w:w="24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lokalnu samoupravu i saradnju sa civilnim društvom</w:t>
            </w:r>
          </w:p>
        </w:tc>
        <w:tc>
          <w:tcPr>
            <w:tcW w:w="128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III kvartal 2026</w:t>
            </w:r>
          </w:p>
        </w:tc>
        <w:tc>
          <w:tcPr>
            <w:tcW w:w="125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Pr="003E254D" w:rsidRDefault="00F7666C" w:rsidP="00316155">
            <w:pPr>
              <w:pStyle w:val="Normal1"/>
              <w:spacing w:before="240" w:after="0" w:line="276" w:lineRule="auto"/>
              <w:jc w:val="both"/>
              <w:rPr>
                <w:rFonts w:ascii="Times New Roman" w:eastAsia="Times New Roman" w:hAnsi="Times New Roman" w:cs="Times New Roman"/>
              </w:rPr>
            </w:pPr>
            <w:r w:rsidRPr="003E254D">
              <w:rPr>
                <w:rFonts w:ascii="Times New Roman" w:eastAsia="Times New Roman" w:hAnsi="Times New Roman" w:cs="Times New Roman"/>
              </w:rPr>
              <w:t>IV kvartal 2026</w:t>
            </w: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570"/>
          <w:tblHeader/>
        </w:trPr>
        <w:tc>
          <w:tcPr>
            <w:tcW w:w="3848" w:type="dxa"/>
            <w:tcBorders>
              <w:top w:val="nil"/>
              <w:left w:val="single" w:sz="6" w:space="0" w:color="BFBFBF"/>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c>
          <w:tcPr>
            <w:tcW w:w="2426" w:type="dxa"/>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1288"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jc w:val="both"/>
            </w:pPr>
          </w:p>
        </w:tc>
        <w:tc>
          <w:tcPr>
            <w:tcW w:w="1258"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jc w:val="both"/>
            </w:pPr>
          </w:p>
        </w:tc>
        <w:tc>
          <w:tcPr>
            <w:tcW w:w="60"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22"/>
        <w:tblW w:w="8880" w:type="dxa"/>
        <w:tblInd w:w="20" w:type="dxa"/>
        <w:tblLayout w:type="fixed"/>
        <w:tblLook w:val="04A0"/>
      </w:tblPr>
      <w:tblGrid>
        <w:gridCol w:w="8880"/>
      </w:tblGrid>
      <w:tr w:rsidR="00E944C2">
        <w:trPr>
          <w:cantSplit/>
          <w:trHeight w:val="570"/>
          <w:tblHeader/>
        </w:trPr>
        <w:tc>
          <w:tcPr>
            <w:tcW w:w="8880" w:type="dxa"/>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12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Heading2"/>
              <w:keepNext w:val="0"/>
              <w:keepLines w:val="0"/>
              <w:spacing w:before="360" w:after="80" w:line="276" w:lineRule="auto"/>
              <w:ind w:left="0" w:firstLine="0"/>
              <w:jc w:val="both"/>
              <w:rPr>
                <w:rFonts w:eastAsia="Times New Roman" w:cs="Times New Roman"/>
                <w:color w:val="000000"/>
                <w:sz w:val="24"/>
                <w:szCs w:val="24"/>
              </w:rPr>
            </w:pPr>
            <w:bookmarkStart w:id="138" w:name="_ri4yhezdst6p" w:colFirst="0" w:colLast="0"/>
            <w:bookmarkStart w:id="139" w:name="_Toc212028136"/>
            <w:bookmarkStart w:id="140" w:name="_Toc212035832"/>
            <w:bookmarkStart w:id="141" w:name="_Toc212039607"/>
            <w:bookmarkEnd w:id="138"/>
            <w:r>
              <w:rPr>
                <w:rFonts w:eastAsia="Times New Roman" w:cs="Times New Roman"/>
                <w:b/>
                <w:color w:val="000000"/>
                <w:sz w:val="24"/>
                <w:szCs w:val="24"/>
              </w:rPr>
              <w:t xml:space="preserve">PROJEKAT BROJ 30 - </w:t>
            </w:r>
            <w:r>
              <w:rPr>
                <w:rFonts w:eastAsia="Times New Roman" w:cs="Times New Roman"/>
                <w:color w:val="000000"/>
                <w:sz w:val="24"/>
                <w:szCs w:val="24"/>
              </w:rPr>
              <w:t>DNEVNI CENTAR SA DNEVNIM CENTROM 27+ I CENTROM ZA AUTIZAM</w:t>
            </w:r>
            <w:bookmarkEnd w:id="139"/>
            <w:bookmarkEnd w:id="140"/>
            <w:bookmarkEnd w:id="141"/>
          </w:p>
        </w:tc>
      </w:tr>
      <w:tr w:rsidR="00E944C2">
        <w:trPr>
          <w:cantSplit/>
          <w:trHeight w:val="1620"/>
          <w:tblHeader/>
        </w:trPr>
        <w:tc>
          <w:tcPr>
            <w:tcW w:w="888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Unapređenje socijalne inkluzije i dostupnosti servisa podrške za osobe sa smetnjama u razvoju i autizmom</w:t>
            </w:r>
          </w:p>
        </w:tc>
      </w:tr>
      <w:tr w:rsidR="00E944C2">
        <w:trPr>
          <w:cantSplit/>
          <w:trHeight w:val="751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Cambria" w:eastAsia="Cambria" w:hAnsi="Cambria" w:cs="Cambria"/>
                <w:sz w:val="24"/>
                <w:szCs w:val="24"/>
              </w:rPr>
              <w:t>Izgradnja i opremanje objekta namijenjenog djeci i odraslima sa smetnjama i teškoćama u razvoju, sa posebnim Centrom za autizam i uslugama podrške za život u zajednici. Projekat je odgovor na prenatrpanost postojećeg JU Dnevnog centra (maks. 20 korisnika), postojanje lista čekanja i potrebu za širenjem usluga na odrasle (27+).</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socijalno staranje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Cambria" w:eastAsia="Cambria" w:hAnsi="Cambria" w:cs="Cambria"/>
                <w:sz w:val="24"/>
                <w:szCs w:val="24"/>
              </w:rPr>
              <w:t>Centar za socijalni rad, Ministarstvo rada i socijalnog staranja, Agencija za izgradnju i razvoj Podgorice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Lokacije u planu su u vlasništvu Glavnog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tc>
      </w:tr>
    </w:tbl>
    <w:p w:rsidR="002F3E03" w:rsidRDefault="002F3E03"/>
    <w:tbl>
      <w:tblPr>
        <w:tblStyle w:val="22"/>
        <w:tblW w:w="8880" w:type="dxa"/>
        <w:tblInd w:w="20" w:type="dxa"/>
        <w:tblLayout w:type="fixed"/>
        <w:tblLook w:val="04A0"/>
      </w:tblPr>
      <w:tblGrid>
        <w:gridCol w:w="3444"/>
        <w:gridCol w:w="2141"/>
        <w:gridCol w:w="1707"/>
        <w:gridCol w:w="1469"/>
        <w:gridCol w:w="59"/>
        <w:gridCol w:w="60"/>
      </w:tblGrid>
      <w:tr w:rsidR="00E944C2" w:rsidTr="003E254D">
        <w:trPr>
          <w:gridAfter w:val="2"/>
          <w:wAfter w:w="119" w:type="dxa"/>
          <w:cantSplit/>
          <w:trHeight w:val="570"/>
          <w:tblHeader/>
        </w:trPr>
        <w:tc>
          <w:tcPr>
            <w:tcW w:w="8761" w:type="dxa"/>
            <w:gridSpan w:val="4"/>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E254D">
        <w:trPr>
          <w:cantSplit/>
          <w:trHeight w:val="435"/>
          <w:tblHeader/>
        </w:trPr>
        <w:tc>
          <w:tcPr>
            <w:tcW w:w="3444"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12.000.000</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budžet</w:t>
            </w:r>
          </w:p>
        </w:tc>
        <w:tc>
          <w:tcPr>
            <w:tcW w:w="2141"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70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528" w:type="dxa"/>
            <w:gridSpan w:val="2"/>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870"/>
          <w:tblHeader/>
        </w:trPr>
        <w:tc>
          <w:tcPr>
            <w:tcW w:w="3444"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141"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70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528" w:type="dxa"/>
            <w:gridSpan w:val="2"/>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855"/>
          <w:tblHeader/>
        </w:trPr>
        <w:tc>
          <w:tcPr>
            <w:tcW w:w="3444"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141"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70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528" w:type="dxa"/>
            <w:gridSpan w:val="2"/>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570"/>
          <w:tblHeader/>
        </w:trPr>
        <w:tc>
          <w:tcPr>
            <w:tcW w:w="3444"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14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70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528" w:type="dxa"/>
            <w:gridSpan w:val="2"/>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570"/>
          <w:tblHeader/>
        </w:trPr>
        <w:tc>
          <w:tcPr>
            <w:tcW w:w="3444"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141"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70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528" w:type="dxa"/>
            <w:gridSpan w:val="2"/>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gridAfter w:val="2"/>
          <w:wAfter w:w="119" w:type="dxa"/>
          <w:cantSplit/>
          <w:trHeight w:val="1335"/>
          <w:tblHeader/>
        </w:trPr>
        <w:tc>
          <w:tcPr>
            <w:tcW w:w="8761" w:type="dxa"/>
            <w:gridSpan w:val="4"/>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21"/>
        <w:tblW w:w="8880" w:type="dxa"/>
        <w:tblInd w:w="20" w:type="dxa"/>
        <w:tblLayout w:type="fixed"/>
        <w:tblLook w:val="04A0"/>
      </w:tblPr>
      <w:tblGrid>
        <w:gridCol w:w="3698"/>
        <w:gridCol w:w="2037"/>
        <w:gridCol w:w="1632"/>
        <w:gridCol w:w="1453"/>
        <w:gridCol w:w="60"/>
      </w:tblGrid>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Heading2"/>
              <w:keepNext w:val="0"/>
              <w:keepLines w:val="0"/>
              <w:spacing w:before="360" w:after="80" w:line="276" w:lineRule="auto"/>
              <w:ind w:left="0" w:firstLine="0"/>
              <w:jc w:val="both"/>
              <w:rPr>
                <w:rFonts w:eastAsia="Times New Roman" w:cs="Times New Roman"/>
                <w:b/>
                <w:color w:val="000000"/>
                <w:sz w:val="34"/>
                <w:szCs w:val="34"/>
              </w:rPr>
            </w:pPr>
            <w:bookmarkStart w:id="142" w:name="_j8pltd8tutdf" w:colFirst="0" w:colLast="0"/>
            <w:bookmarkStart w:id="143" w:name="_Toc212035833"/>
            <w:bookmarkStart w:id="144" w:name="_Toc212039608"/>
            <w:bookmarkStart w:id="145" w:name="_Toc212028137"/>
            <w:bookmarkEnd w:id="142"/>
            <w:r>
              <w:rPr>
                <w:rFonts w:eastAsia="Times New Roman" w:cs="Times New Roman"/>
                <w:b/>
                <w:color w:val="000000"/>
                <w:sz w:val="24"/>
                <w:szCs w:val="24"/>
              </w:rPr>
              <w:t xml:space="preserve">PROJEKAT BROJ 31- </w:t>
            </w:r>
            <w:r>
              <w:rPr>
                <w:rFonts w:eastAsia="Times New Roman" w:cs="Times New Roman"/>
                <w:color w:val="000000"/>
                <w:sz w:val="24"/>
                <w:szCs w:val="24"/>
              </w:rPr>
              <w:t>GERONTOLOŠKI CENTAR SA DOMOM ZA STARE</w:t>
            </w:r>
            <w:bookmarkEnd w:id="143"/>
            <w:bookmarkEnd w:id="144"/>
            <w:bookmarkEnd w:id="145"/>
          </w:p>
        </w:tc>
      </w:tr>
      <w:tr w:rsidR="00E944C2">
        <w:trPr>
          <w:cantSplit/>
          <w:trHeight w:val="189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Cambria" w:hAnsi="Times New Roman" w:cs="Times New Roman"/>
                <w:color w:val="FFFFFF"/>
                <w:sz w:val="24"/>
                <w:szCs w:val="24"/>
              </w:rPr>
            </w:pPr>
            <w:r>
              <w:rPr>
                <w:rFonts w:ascii="Times New Roman" w:eastAsia="Cambria" w:hAnsi="Times New Roman" w:cs="Times New Roman"/>
                <w:color w:val="FFFFFF"/>
                <w:sz w:val="24"/>
                <w:szCs w:val="24"/>
              </w:rPr>
              <w:t>Izgrađen Gerontološki centar sa smještajnim kapacitetima</w:t>
            </w:r>
            <w:r>
              <w:rPr>
                <w:rFonts w:ascii="Times New Roman" w:eastAsia="Cambria" w:hAnsi="Times New Roman" w:cs="Times New Roman"/>
                <w:color w:val="FFFFFF"/>
                <w:sz w:val="24"/>
                <w:szCs w:val="24"/>
              </w:rPr>
              <w:br/>
              <w:t>Povećan obuhvat korisnika institucionalne zaštite starijih</w:t>
            </w:r>
            <w:r>
              <w:rPr>
                <w:rFonts w:ascii="Times New Roman" w:eastAsia="Cambria" w:hAnsi="Times New Roman" w:cs="Times New Roman"/>
                <w:color w:val="FFFFFF"/>
                <w:sz w:val="24"/>
                <w:szCs w:val="24"/>
              </w:rPr>
              <w:br/>
              <w:t>Smanjenje pritiska na JU Dom starih Podgorica</w:t>
            </w:r>
          </w:p>
        </w:tc>
      </w:tr>
      <w:tr w:rsidR="00E944C2">
        <w:trPr>
          <w:cantSplit/>
          <w:trHeight w:val="511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Cambria"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Cambria" w:hAnsi="Times New Roman" w:cs="Times New Roman"/>
                <w:sz w:val="24"/>
                <w:szCs w:val="24"/>
              </w:rPr>
              <w:t>Izgradnja savremenog Gerontološkog centra sa Domom za stare, koji će omogućiti smještaj, dnevne usluge, zdravstvenu i socijalnu podršku starijim licima. Projekat je odgovor na rastući broj starijih i nedovoljne kapacitete postojećih ustanova.</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socijalno staranje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Cambria" w:hAnsi="Times New Roman" w:cs="Times New Roman"/>
                <w:sz w:val="24"/>
                <w:szCs w:val="24"/>
              </w:rPr>
              <w:t>Ministarstvo rada i socijalnog staranja, Agencija za izgradnju i razvoj Podgorice, Uprava za nekretnine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Parcela u vlasništvu Glavnog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5"/>
          <w:tblHeader/>
        </w:trPr>
        <w:tc>
          <w:tcPr>
            <w:tcW w:w="3698"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Cambria" w:hAnsi="Times New Roman" w:cs="Times New Roman"/>
                <w:sz w:val="24"/>
                <w:szCs w:val="24"/>
              </w:rPr>
              <w:t>15.000.000 €</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budžet i donacije</w:t>
            </w:r>
          </w:p>
        </w:tc>
        <w:tc>
          <w:tcPr>
            <w:tcW w:w="203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63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53"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1350"/>
          <w:tblHeader/>
        </w:trPr>
        <w:tc>
          <w:tcPr>
            <w:tcW w:w="3698"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63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53"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2F3E03" w:rsidRDefault="002F3E03"/>
    <w:tbl>
      <w:tblPr>
        <w:tblStyle w:val="21"/>
        <w:tblW w:w="8880" w:type="dxa"/>
        <w:tblInd w:w="20" w:type="dxa"/>
        <w:tblLayout w:type="fixed"/>
        <w:tblLook w:val="04A0"/>
      </w:tblPr>
      <w:tblGrid>
        <w:gridCol w:w="3698"/>
        <w:gridCol w:w="2037"/>
        <w:gridCol w:w="1632"/>
        <w:gridCol w:w="1453"/>
        <w:gridCol w:w="60"/>
      </w:tblGrid>
      <w:tr w:rsidR="00E944C2" w:rsidTr="00316155">
        <w:trPr>
          <w:cantSplit/>
          <w:trHeight w:val="855"/>
          <w:tblHeader/>
        </w:trPr>
        <w:tc>
          <w:tcPr>
            <w:tcW w:w="3698"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03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632"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453"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69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69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69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69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698"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3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1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240" w:line="276" w:lineRule="auto"/>
        <w:jc w:val="both"/>
        <w:rPr>
          <w:rFonts w:ascii="Times New Roman" w:eastAsia="Times New Roman" w:hAnsi="Times New Roman" w:cs="Times New Roman"/>
          <w:sz w:val="24"/>
          <w:szCs w:val="24"/>
        </w:rPr>
      </w:pPr>
    </w:p>
    <w:tbl>
      <w:tblPr>
        <w:tblStyle w:val="20"/>
        <w:tblW w:w="8880" w:type="dxa"/>
        <w:tblInd w:w="20" w:type="dxa"/>
        <w:tblLayout w:type="fixed"/>
        <w:tblLook w:val="04A0"/>
      </w:tblPr>
      <w:tblGrid>
        <w:gridCol w:w="8880"/>
      </w:tblGrid>
      <w:tr w:rsidR="00E944C2">
        <w:trPr>
          <w:cantSplit/>
          <w:trHeight w:val="85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Heading2"/>
              <w:keepNext w:val="0"/>
              <w:keepLines w:val="0"/>
              <w:spacing w:before="360" w:after="80" w:line="216" w:lineRule="auto"/>
              <w:ind w:left="0" w:firstLine="0"/>
              <w:jc w:val="both"/>
              <w:rPr>
                <w:rFonts w:cs="Times New Roman"/>
                <w:b/>
                <w:color w:val="4F81BD"/>
                <w:sz w:val="34"/>
                <w:szCs w:val="34"/>
              </w:rPr>
            </w:pPr>
            <w:bookmarkStart w:id="146" w:name="_pmaj9rry4zb5" w:colFirst="0" w:colLast="0"/>
            <w:bookmarkStart w:id="147" w:name="_Toc212039609"/>
            <w:bookmarkStart w:id="148" w:name="_Toc212028138"/>
            <w:bookmarkStart w:id="149" w:name="_Toc212035834"/>
            <w:bookmarkEnd w:id="146"/>
            <w:r>
              <w:rPr>
                <w:rFonts w:eastAsia="Times New Roman" w:cs="Times New Roman"/>
                <w:b/>
                <w:color w:val="000000"/>
                <w:sz w:val="24"/>
                <w:szCs w:val="24"/>
              </w:rPr>
              <w:t xml:space="preserve">PROJEKAT BROJ 32 - </w:t>
            </w:r>
            <w:r>
              <w:rPr>
                <w:rFonts w:eastAsia="Times New Roman" w:cs="Times New Roman"/>
                <w:color w:val="000000"/>
                <w:sz w:val="24"/>
                <w:szCs w:val="24"/>
              </w:rPr>
              <w:t>DOM ZDRAVLJA NA ZABJELU</w:t>
            </w:r>
            <w:bookmarkEnd w:id="147"/>
            <w:bookmarkEnd w:id="148"/>
            <w:bookmarkEnd w:id="149"/>
          </w:p>
        </w:tc>
      </w:tr>
      <w:tr w:rsidR="00E944C2">
        <w:trPr>
          <w:cantSplit/>
          <w:trHeight w:val="2700"/>
          <w:tblHeader/>
        </w:trPr>
        <w:tc>
          <w:tcPr>
            <w:tcW w:w="888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16" w:lineRule="auto"/>
              <w:jc w:val="both"/>
              <w:rPr>
                <w:rFonts w:ascii="Times New Roman" w:eastAsia="Cambria" w:hAnsi="Times New Roman" w:cs="Times New Roman"/>
                <w:color w:val="FFFFFF"/>
                <w:sz w:val="24"/>
                <w:szCs w:val="24"/>
              </w:rPr>
            </w:pPr>
            <w:r>
              <w:rPr>
                <w:rFonts w:ascii="Times New Roman" w:eastAsia="Cambria" w:hAnsi="Times New Roman" w:cs="Times New Roman"/>
                <w:color w:val="FFFFFF"/>
                <w:sz w:val="24"/>
                <w:szCs w:val="24"/>
              </w:rPr>
              <w:t>Unapređenje zdravstvene zaštite kroz povećanje dostupnosti primarne zdravstvene zaštite</w:t>
            </w:r>
          </w:p>
          <w:p w:rsidR="00E944C2" w:rsidRDefault="00F7666C" w:rsidP="00316155">
            <w:pPr>
              <w:pStyle w:val="Normal1"/>
              <w:spacing w:before="240" w:after="0" w:line="216" w:lineRule="auto"/>
              <w:jc w:val="both"/>
              <w:rPr>
                <w:rFonts w:ascii="Times New Roman" w:eastAsia="Cambria" w:hAnsi="Times New Roman" w:cs="Times New Roman"/>
                <w:color w:val="FFFFFF"/>
                <w:sz w:val="24"/>
                <w:szCs w:val="24"/>
              </w:rPr>
            </w:pPr>
            <w:r>
              <w:rPr>
                <w:rFonts w:ascii="Times New Roman" w:eastAsia="Cambria" w:hAnsi="Times New Roman" w:cs="Times New Roman"/>
                <w:color w:val="FFFFFF"/>
                <w:sz w:val="24"/>
                <w:szCs w:val="24"/>
              </w:rPr>
              <w:t>- Izgrađen i opremljen novi Dom zdravlja</w:t>
            </w:r>
            <w:r>
              <w:rPr>
                <w:rFonts w:ascii="Times New Roman" w:eastAsia="Cambria" w:hAnsi="Times New Roman" w:cs="Times New Roman"/>
                <w:color w:val="FFFFFF"/>
                <w:sz w:val="24"/>
                <w:szCs w:val="24"/>
              </w:rPr>
              <w:br/>
              <w:t xml:space="preserve"> - Povećana dostupnost zdravstvenih usluga stanovnicima Zabjela</w:t>
            </w:r>
            <w:r>
              <w:rPr>
                <w:rFonts w:ascii="Times New Roman" w:eastAsia="Cambria" w:hAnsi="Times New Roman" w:cs="Times New Roman"/>
                <w:color w:val="FFFFFF"/>
                <w:sz w:val="24"/>
                <w:szCs w:val="24"/>
              </w:rPr>
              <w:br/>
              <w:t xml:space="preserve"> - Smanjenje pritiska na Dom zdravlja Podgorica i KCCG (koji ima duge liste čekanja)</w:t>
            </w:r>
          </w:p>
        </w:tc>
      </w:tr>
      <w:tr w:rsidR="00E944C2">
        <w:trPr>
          <w:cantSplit/>
          <w:trHeight w:val="589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Cambria"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Cambria" w:hAnsi="Times New Roman" w:cs="Times New Roman"/>
                <w:sz w:val="24"/>
                <w:szCs w:val="24"/>
              </w:rPr>
              <w:t>Izgradnja Doma zdravlja u naselju Zabjelo kao primarnog centra za stanovnike ovog urbanog područja, sa modernim prostorijama i opremom. Projekat je odgovor na rastuće potrebe i prenatrpanost postojećih punktova.</w:t>
            </w:r>
          </w:p>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socijalno staranje</w:t>
            </w:r>
          </w:p>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Cambria" w:hAnsi="Times New Roman" w:cs="Times New Roman"/>
                <w:sz w:val="24"/>
                <w:szCs w:val="24"/>
              </w:rPr>
              <w:t>Ministarstvo zdravlja, Dom zdravlja Podgorica, Agencija za izgradnju i razvoj Podgorice</w:t>
            </w:r>
          </w:p>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Parcela u vlasništvu Glavnog grada, dio parcele zauzeće kružni tok u izgradnji bulevara Vojislavljevića, pa je potrebno eventualno riješiti imovinsko-pravne odnose na susjednim parcelama.</w:t>
            </w:r>
          </w:p>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w:t>
            </w:r>
          </w:p>
        </w:tc>
      </w:tr>
    </w:tbl>
    <w:p w:rsidR="002F3E03" w:rsidRDefault="002F3E03"/>
    <w:tbl>
      <w:tblPr>
        <w:tblStyle w:val="20"/>
        <w:tblW w:w="8880" w:type="dxa"/>
        <w:tblInd w:w="20" w:type="dxa"/>
        <w:tblLayout w:type="fixed"/>
        <w:tblLook w:val="04A0"/>
      </w:tblPr>
      <w:tblGrid>
        <w:gridCol w:w="4057"/>
        <w:gridCol w:w="1902"/>
        <w:gridCol w:w="1513"/>
        <w:gridCol w:w="1348"/>
        <w:gridCol w:w="60"/>
      </w:tblGrid>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540"/>
          <w:tblHeader/>
        </w:trPr>
        <w:tc>
          <w:tcPr>
            <w:tcW w:w="4057"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16" w:lineRule="auto"/>
              <w:jc w:val="both"/>
              <w:rPr>
                <w:rFonts w:ascii="Times New Roman" w:eastAsia="Times New Roman" w:hAnsi="Times New Roman" w:cs="Times New Roman"/>
                <w:sz w:val="24"/>
                <w:szCs w:val="24"/>
              </w:rPr>
            </w:pPr>
            <w:r>
              <w:rPr>
                <w:rFonts w:ascii="Cambria" w:eastAsia="Cambria" w:hAnsi="Cambria" w:cs="Cambria"/>
                <w:sz w:val="24"/>
                <w:szCs w:val="24"/>
              </w:rPr>
              <w:t>9.500.000 €</w:t>
            </w:r>
          </w:p>
          <w:p w:rsidR="00E944C2" w:rsidRDefault="00F7666C" w:rsidP="00316155">
            <w:pPr>
              <w:pStyle w:val="Normal1"/>
              <w:shd w:val="clear" w:color="auto" w:fill="FFFFFF"/>
              <w:spacing w:before="240" w:after="0" w:line="21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budžet</w:t>
            </w:r>
          </w:p>
        </w:tc>
        <w:tc>
          <w:tcPr>
            <w:tcW w:w="190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51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4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r>
      <w:tr w:rsidR="00E944C2">
        <w:trPr>
          <w:cantSplit/>
          <w:trHeight w:val="1665"/>
          <w:tblHeader/>
        </w:trPr>
        <w:tc>
          <w:tcPr>
            <w:tcW w:w="4057"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190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151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4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1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r>
      <w:tr w:rsidR="00E944C2">
        <w:trPr>
          <w:cantSplit/>
          <w:trHeight w:val="855"/>
          <w:tblHeader/>
        </w:trPr>
        <w:tc>
          <w:tcPr>
            <w:tcW w:w="4057"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902"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513"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4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1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r>
      <w:tr w:rsidR="00E944C2">
        <w:trPr>
          <w:cantSplit/>
          <w:trHeight w:val="570"/>
          <w:tblHeader/>
        </w:trPr>
        <w:tc>
          <w:tcPr>
            <w:tcW w:w="4057"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190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151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134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1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0" w:line="276" w:lineRule="auto"/>
        <w:jc w:val="both"/>
        <w:rPr>
          <w:rFonts w:ascii="Times New Roman" w:eastAsia="Times New Roman" w:hAnsi="Times New Roman" w:cs="Times New Roman"/>
          <w:sz w:val="24"/>
          <w:szCs w:val="24"/>
        </w:rPr>
      </w:pPr>
    </w:p>
    <w:p w:rsidR="0039656C" w:rsidRDefault="0039656C"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19"/>
        <w:tblW w:w="8880" w:type="dxa"/>
        <w:tblInd w:w="20" w:type="dxa"/>
        <w:tblLayout w:type="fixed"/>
        <w:tblLook w:val="04A0"/>
      </w:tblPr>
      <w:tblGrid>
        <w:gridCol w:w="3967"/>
        <w:gridCol w:w="1932"/>
        <w:gridCol w:w="1543"/>
        <w:gridCol w:w="1378"/>
        <w:gridCol w:w="60"/>
      </w:tblGrid>
      <w:tr w:rsidR="00E944C2">
        <w:trPr>
          <w:cantSplit/>
          <w:trHeight w:val="855"/>
          <w:tblHeader/>
        </w:trPr>
        <w:tc>
          <w:tcPr>
            <w:tcW w:w="8880" w:type="dxa"/>
            <w:gridSpan w:val="5"/>
            <w:tcBorders>
              <w:top w:val="nil"/>
              <w:left w:val="single" w:sz="6" w:space="0" w:color="BFBFBF"/>
              <w:bottom w:val="nil"/>
              <w:right w:val="single" w:sz="6" w:space="0" w:color="BFBFBF"/>
            </w:tcBorders>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33   – </w:t>
            </w:r>
            <w:r>
              <w:rPr>
                <w:rFonts w:ascii="Times New Roman" w:eastAsia="Times New Roman" w:hAnsi="Times New Roman" w:cs="Times New Roman"/>
                <w:sz w:val="24"/>
                <w:szCs w:val="24"/>
              </w:rPr>
              <w:t>IZGRADNJA POKRIVENE KONSTRUKCIJE POSTOJEĆEG OLIMPIJSKOG BAZENA</w:t>
            </w:r>
          </w:p>
        </w:tc>
      </w:tr>
      <w:tr w:rsidR="00E944C2">
        <w:trPr>
          <w:cantSplit/>
          <w:trHeight w:val="286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Omogućiti cjelogodišnje korišćenje postojećeg olimpijskog bazena.</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Unaprijediti uslove za treninge i takmičenja u vodenim sportovima.</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Povećati broj korisnika bazena (sportisti, rekreativci, škole)</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Stvoriti uslove za organizaciju međunarodnih takmičenja u vodenim sportovima.</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59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Opis projekta: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Projekat podrazumijeva izgradnju pokrivene konstrukcije postojećeg olimpijskog bazena, kao i modernizaciju tehničkih sistema i prateće infrastrukture. Na ovaj način obezbijediće se uslovi za kontinuirano korišćenje objekta tokom cijele godine, u skladu sa savremenim standardima za sportske objekte.</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Vrijednost projekta:</w:t>
            </w:r>
            <w:r>
              <w:rPr>
                <w:rFonts w:ascii="Times New Roman" w:eastAsia="Times New Roman" w:hAnsi="Times New Roman" w:cs="Times New Roman"/>
                <w:sz w:val="24"/>
                <w:szCs w:val="24"/>
              </w:rPr>
              <w:t xml:space="preserve"> 13.500.000 €</w:t>
            </w:r>
            <w:r>
              <w:rPr>
                <w:rFonts w:ascii="Times New Roman" w:eastAsia="Times New Roman" w:hAnsi="Times New Roman" w:cs="Times New Roman"/>
                <w:sz w:val="24"/>
                <w:szCs w:val="24"/>
              </w:rPr>
              <w:br/>
              <w:t xml:space="preserve"> (Izvor finansiranja: Budžet Vlade Crne Gore – kapitalni projekat)</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Nosilac projekta / Vodeći partner:</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Ministarstvo sporta i mladih</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Glavni grad Podgorica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planiranje prostora i održivi razvoj</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Direkcija za imovinu / Uprava za nekretnine</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sport Glavnog grada</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Sportski objekti d.o.o.</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imovinsko-pravnih odnosa: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Zemljište i objekat nalaze se u vlasništvu Glavnog grada. Ne postoje sporni imovinsko-pravni odnosi.</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Trenutni status projekta: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Projekat je kandidovan i odobren kao kapitalni. Očekuje se raspisivanje javnog tendera po principu „projektuj i izgradi“.</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397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Crne Gore</w:t>
            </w:r>
          </w:p>
        </w:tc>
        <w:tc>
          <w:tcPr>
            <w:tcW w:w="193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54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8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110"/>
          <w:tblHeader/>
        </w:trPr>
        <w:tc>
          <w:tcPr>
            <w:tcW w:w="397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93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54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8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55"/>
          <w:tblHeader/>
        </w:trPr>
        <w:tc>
          <w:tcPr>
            <w:tcW w:w="397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93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54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8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397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Pripremna faza - Raspisivanje i sprovođenje tendera, izbor izvođača</w:t>
            </w:r>
          </w:p>
        </w:tc>
        <w:tc>
          <w:tcPr>
            <w:tcW w:w="19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5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38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2025</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020"/>
          <w:tblHeader/>
        </w:trPr>
        <w:tc>
          <w:tcPr>
            <w:tcW w:w="397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Izvođenje radova - Radovi na pokrivanju bazena i instalacija sistema.</w:t>
            </w:r>
          </w:p>
        </w:tc>
        <w:tc>
          <w:tcPr>
            <w:tcW w:w="19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5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w:t>
            </w:r>
          </w:p>
        </w:tc>
        <w:tc>
          <w:tcPr>
            <w:tcW w:w="138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397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Puštanje u rad - Testiranje i početak korišćenja</w:t>
            </w:r>
          </w:p>
        </w:tc>
        <w:tc>
          <w:tcPr>
            <w:tcW w:w="19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5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38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1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bl>
      <w:tblPr>
        <w:tblStyle w:val="18"/>
        <w:tblW w:w="8865" w:type="dxa"/>
        <w:tblInd w:w="20" w:type="dxa"/>
        <w:tblLayout w:type="fixed"/>
        <w:tblLook w:val="04A0"/>
      </w:tblPr>
      <w:tblGrid>
        <w:gridCol w:w="4072"/>
        <w:gridCol w:w="1887"/>
        <w:gridCol w:w="1498"/>
        <w:gridCol w:w="1348"/>
        <w:gridCol w:w="60"/>
      </w:tblGrid>
      <w:tr w:rsidR="00E944C2">
        <w:trPr>
          <w:cantSplit/>
          <w:trHeight w:val="85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34   – </w:t>
            </w:r>
            <w:r>
              <w:rPr>
                <w:rFonts w:ascii="Times New Roman" w:eastAsia="Times New Roman" w:hAnsi="Times New Roman" w:cs="Times New Roman"/>
                <w:sz w:val="24"/>
                <w:szCs w:val="24"/>
              </w:rPr>
              <w:t xml:space="preserve"> OLIMPIJSKI BAZEN, IZGRADNJA NOVOG OTVORENOG BAZENA</w:t>
            </w:r>
          </w:p>
        </w:tc>
      </w:tr>
      <w:tr w:rsidR="00E944C2">
        <w:trPr>
          <w:cantSplit/>
          <w:trHeight w:val="2865"/>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Obezbijediti otvoreni olimpijski bazen tokom ljetnjih mjeseci.</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Povećati dostupnost vodenih sportova i rekreativnog plivanja građanima.</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Pružiti uslove za škole plivanja, obuke neplivača i inkluzivne sportske programe.</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Očekivani broj korisnika: </w:t>
            </w:r>
            <w:r>
              <w:rPr>
                <w:rFonts w:ascii="Times New Roman" w:eastAsia="Times New Roman" w:hAnsi="Times New Roman" w:cs="Times New Roman"/>
                <w:b/>
                <w:color w:val="FFFFFF"/>
                <w:sz w:val="24"/>
                <w:szCs w:val="24"/>
              </w:rPr>
              <w:t>preko 24.000 godišnje</w:t>
            </w:r>
            <w:r>
              <w:rPr>
                <w:rFonts w:ascii="Times New Roman" w:eastAsia="Times New Roman" w:hAnsi="Times New Roman" w:cs="Times New Roman"/>
                <w:color w:val="FFFFFF"/>
                <w:sz w:val="24"/>
                <w:szCs w:val="24"/>
              </w:rPr>
              <w:t>.</w:t>
            </w:r>
          </w:p>
          <w:p w:rsidR="00E944C2" w:rsidRDefault="00E944C2" w:rsidP="00316155">
            <w:pPr>
              <w:pStyle w:val="Normal1"/>
              <w:spacing w:before="240" w:after="0" w:line="276" w:lineRule="auto"/>
              <w:jc w:val="both"/>
              <w:rPr>
                <w:rFonts w:ascii="Times New Roman" w:eastAsia="Times New Roman" w:hAnsi="Times New Roman" w:cs="Times New Roman"/>
                <w:color w:val="FFFFFF"/>
                <w:sz w:val="24"/>
                <w:szCs w:val="24"/>
              </w:rPr>
            </w:pPr>
          </w:p>
        </w:tc>
      </w:tr>
      <w:tr w:rsidR="00E944C2">
        <w:trPr>
          <w:cantSplit/>
          <w:trHeight w:val="910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Opis</w:t>
            </w:r>
            <w:r w:rsidR="002F3E03">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projekta: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Projekat podrazumijeva izgradnju savremenog otvorenog olimpijskog bazena sa kompletnom pratećom infrastrukturom. U okviru kompleksa planirano je uređenje prostora namijenjenog edukativnim i inkluzivnim programima, čime će se dodatno unaprijediti dostupnost sportskih sadržaja za različite ciljne grupe i doprinijeti razvoju sporta, obrazovanja i inkluzije u zajednici.</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Vrijednost projekta:</w:t>
            </w:r>
            <w:r>
              <w:rPr>
                <w:rFonts w:ascii="Times New Roman" w:eastAsia="Times New Roman" w:hAnsi="Times New Roman" w:cs="Times New Roman"/>
                <w:sz w:val="24"/>
                <w:szCs w:val="24"/>
              </w:rPr>
              <w:t xml:space="preserve"> 2.000.000 €</w:t>
            </w:r>
            <w:r>
              <w:rPr>
                <w:rFonts w:ascii="Times New Roman" w:eastAsia="Times New Roman" w:hAnsi="Times New Roman" w:cs="Times New Roman"/>
                <w:sz w:val="24"/>
                <w:szCs w:val="24"/>
              </w:rPr>
              <w:br/>
              <w:t xml:space="preserve"> (Izvor finansiranja: Budžet Glavnog grada Podgorica)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Nosilac projekta / Vodeći partner:</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Glavni grad Podgorica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planiranje prostora i održivi razvoj</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Direkcija za imovinu / Uprava za nekretnine</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sport Glavnog grada</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Sportski objekti d.o.o.</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imovinsko-pravnih odnosa: Predlažemo kod SC Morača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Predviđeno zemljište je u vlasništvu države.</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Trenutni status projekta: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U toku je analiza potencijalnih lokacija, kao i tehničkih i finansijskih mogućnosti za realizaciju projekta.</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E254D">
        <w:trPr>
          <w:cantSplit/>
          <w:trHeight w:val="435"/>
          <w:tblHeader/>
        </w:trPr>
        <w:tc>
          <w:tcPr>
            <w:tcW w:w="4072"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188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498"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4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555"/>
          <w:tblHeader/>
        </w:trPr>
        <w:tc>
          <w:tcPr>
            <w:tcW w:w="4072"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88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4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3E254D" w:rsidRDefault="003E254D"/>
    <w:tbl>
      <w:tblPr>
        <w:tblStyle w:val="18"/>
        <w:tblW w:w="8865" w:type="dxa"/>
        <w:tblInd w:w="20" w:type="dxa"/>
        <w:tblLayout w:type="fixed"/>
        <w:tblLook w:val="04A0"/>
      </w:tblPr>
      <w:tblGrid>
        <w:gridCol w:w="4072"/>
        <w:gridCol w:w="1887"/>
        <w:gridCol w:w="1498"/>
        <w:gridCol w:w="1348"/>
        <w:gridCol w:w="60"/>
      </w:tblGrid>
      <w:tr w:rsidR="00E944C2" w:rsidTr="003E254D">
        <w:trPr>
          <w:cantSplit/>
          <w:trHeight w:val="855"/>
          <w:tblHeader/>
        </w:trPr>
        <w:tc>
          <w:tcPr>
            <w:tcW w:w="4072"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88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498"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4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570"/>
          <w:tblHeader/>
        </w:trPr>
        <w:tc>
          <w:tcPr>
            <w:tcW w:w="407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Određivanje lokacije</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34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2025</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1020"/>
          <w:tblHeader/>
        </w:trPr>
        <w:tc>
          <w:tcPr>
            <w:tcW w:w="407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Glavnog projekta, raspisivanje tendera izbor izvođača i izvođenje radova</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34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E254D">
        <w:trPr>
          <w:cantSplit/>
          <w:trHeight w:val="570"/>
          <w:tblHeader/>
        </w:trPr>
        <w:tc>
          <w:tcPr>
            <w:tcW w:w="4072" w:type="dxa"/>
            <w:tcBorders>
              <w:top w:val="nil"/>
              <w:left w:val="single" w:sz="6" w:space="0" w:color="BFBFBF"/>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887" w:type="dxa"/>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348"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single" w:sz="6" w:space="0" w:color="BFBFBF"/>
              <w:bottom w:val="nil"/>
              <w:right w:val="single" w:sz="6" w:space="0" w:color="000000"/>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10"/>
          <w:tblHeader/>
        </w:trPr>
        <w:tc>
          <w:tcPr>
            <w:tcW w:w="886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bl>
      <w:tblPr>
        <w:tblStyle w:val="17"/>
        <w:tblW w:w="8850" w:type="dxa"/>
        <w:tblInd w:w="20" w:type="dxa"/>
        <w:tblLayout w:type="fixed"/>
        <w:tblLook w:val="04A0"/>
      </w:tblPr>
      <w:tblGrid>
        <w:gridCol w:w="8850"/>
      </w:tblGrid>
      <w:tr w:rsidR="00E944C2">
        <w:trPr>
          <w:cantSplit/>
          <w:trHeight w:val="855"/>
          <w:tblHeader/>
        </w:trPr>
        <w:tc>
          <w:tcPr>
            <w:tcW w:w="885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35  – </w:t>
            </w:r>
            <w:r>
              <w:rPr>
                <w:rFonts w:ascii="Times New Roman" w:eastAsia="Times New Roman" w:hAnsi="Times New Roman" w:cs="Times New Roman"/>
                <w:sz w:val="24"/>
                <w:szCs w:val="24"/>
              </w:rPr>
              <w:t>IZGRADNJA ATLETSKOG STADIONA</w:t>
            </w:r>
          </w:p>
        </w:tc>
      </w:tr>
      <w:tr w:rsidR="00E944C2">
        <w:trPr>
          <w:cantSplit/>
          <w:trHeight w:val="2370"/>
          <w:tblHeader/>
        </w:trPr>
        <w:tc>
          <w:tcPr>
            <w:tcW w:w="885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Razvoj i unapređenje atletske infrastrukture u Glavnom gradu.</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Omogućavanje organizacije regionalnih i međunarodnih atletskih takmičenja.</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Povećanje broja atletskih klubova i programa za mlade.</w:t>
            </w:r>
          </w:p>
          <w:p w:rsidR="00E944C2" w:rsidRDefault="00F7666C" w:rsidP="00316155">
            <w:pPr>
              <w:pStyle w:val="Normal1"/>
              <w:spacing w:before="240" w:after="0" w:line="276" w:lineRule="auto"/>
              <w:ind w:left="360"/>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Unapređenje uslova za profesionalne sportiste i rekreativce.</w:t>
            </w:r>
          </w:p>
        </w:tc>
      </w:tr>
      <w:tr w:rsidR="00E944C2">
        <w:trPr>
          <w:cantSplit/>
          <w:trHeight w:val="8025"/>
          <w:tblHeader/>
        </w:trPr>
        <w:tc>
          <w:tcPr>
            <w:tcW w:w="885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Izgradnja savremenog atletskog stadiona koji zadovoljava </w:t>
            </w:r>
            <w:r>
              <w:rPr>
                <w:rFonts w:ascii="Times New Roman" w:eastAsia="Times New Roman" w:hAnsi="Times New Roman" w:cs="Times New Roman"/>
                <w:b/>
                <w:sz w:val="24"/>
                <w:szCs w:val="24"/>
              </w:rPr>
              <w:t xml:space="preserve">World Athletics/IAAF </w:t>
            </w:r>
            <w:r>
              <w:rPr>
                <w:rFonts w:ascii="Times New Roman" w:eastAsia="Times New Roman" w:hAnsi="Times New Roman" w:cs="Times New Roman"/>
                <w:sz w:val="24"/>
                <w:szCs w:val="24"/>
              </w:rPr>
              <w:t>standarde.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Stadion će sadržati: tartan stazu sa 8 traka, bacališta i zone za skokove, tribine za gledaoce, svlačionice i prateće tehničke prostore, rasvjetu i elektronski sistem za mjerenje vremena i rezultata. Projekat je dio šire sportske zone Glavnog grada, sa potencijalom za trening kampove i međunarodna takmičenja. Glavni projekat iznosi 350.000,00€, izgradnja atletskog stadiona iznosi 14.280.000,00€ (omogućiti faznu izgradnju)</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Vlada CG, Glavni grad Podgorica</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Subjekti uključeni u implementaciju: </w:t>
            </w:r>
            <w:r>
              <w:rPr>
                <w:rFonts w:ascii="Times New Roman" w:eastAsia="Times New Roman" w:hAnsi="Times New Roman" w:cs="Times New Roman"/>
                <w:sz w:val="24"/>
                <w:szCs w:val="24"/>
              </w:rPr>
              <w:t>Ministarstvo sporta i mladih, Sekretarijat za planiranje prostora, Sekretarijat za sport Glavnog grada, Atletski savez CG</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Zemljište u vlasništvu Glavnog grada</w:t>
            </w:r>
          </w:p>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rPr>
              <w:t>Vremenski okvir</w:t>
            </w:r>
            <w:r>
              <w:rPr>
                <w:rFonts w:ascii="Times New Roman" w:eastAsia="Times New Roman" w:hAnsi="Times New Roman" w:cs="Times New Roman"/>
                <w:sz w:val="24"/>
                <w:szCs w:val="24"/>
              </w:rPr>
              <w:t xml:space="preserve">: </w:t>
            </w:r>
            <w:r>
              <w:rPr>
                <w:rFonts w:ascii="Times New Roman" w:eastAsia="Times New Roman" w:hAnsi="Times New Roman" w:cs="Times New Roman"/>
                <w:b/>
                <w:sz w:val="24"/>
                <w:szCs w:val="24"/>
                <w:u w:val="single"/>
              </w:rPr>
              <w:t>2025-2028</w:t>
            </w:r>
          </w:p>
        </w:tc>
      </w:tr>
    </w:tbl>
    <w:p w:rsidR="002F3E03" w:rsidRDefault="002F3E03"/>
    <w:tbl>
      <w:tblPr>
        <w:tblStyle w:val="17"/>
        <w:tblW w:w="8850" w:type="dxa"/>
        <w:tblInd w:w="20" w:type="dxa"/>
        <w:tblLayout w:type="fixed"/>
        <w:tblLook w:val="04A0"/>
      </w:tblPr>
      <w:tblGrid>
        <w:gridCol w:w="3345"/>
        <w:gridCol w:w="2055"/>
        <w:gridCol w:w="1635"/>
        <w:gridCol w:w="1695"/>
        <w:gridCol w:w="120"/>
      </w:tblGrid>
      <w:tr w:rsidR="00E944C2">
        <w:trPr>
          <w:cantSplit/>
          <w:trHeight w:val="570"/>
          <w:tblHeader/>
        </w:trPr>
        <w:tc>
          <w:tcPr>
            <w:tcW w:w="885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334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ind w:left="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Crne Gore i Budžet Glavnog grada </w:t>
            </w:r>
          </w:p>
        </w:tc>
        <w:tc>
          <w:tcPr>
            <w:tcW w:w="20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63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69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2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70"/>
          <w:tblHeader/>
        </w:trPr>
        <w:tc>
          <w:tcPr>
            <w:tcW w:w="334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63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69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55"/>
          <w:tblHeader/>
        </w:trPr>
        <w:tc>
          <w:tcPr>
            <w:tcW w:w="334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05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63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69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12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334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Glavnog projekta</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2025</w:t>
            </w:r>
          </w:p>
        </w:tc>
        <w:tc>
          <w:tcPr>
            <w:tcW w:w="12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334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tendera i izbor izvođača radova</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w:t>
            </w:r>
          </w:p>
        </w:tc>
        <w:tc>
          <w:tcPr>
            <w:tcW w:w="12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334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atletskog stadiona I faza</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2026/2027</w:t>
            </w:r>
          </w:p>
        </w:tc>
        <w:tc>
          <w:tcPr>
            <w:tcW w:w="12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334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atletskog stadiona II faza</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3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2028</w:t>
            </w:r>
          </w:p>
        </w:tc>
        <w:tc>
          <w:tcPr>
            <w:tcW w:w="12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2F3E03" w:rsidRDefault="002F3E03"/>
    <w:tbl>
      <w:tblPr>
        <w:tblStyle w:val="17"/>
        <w:tblW w:w="8850" w:type="dxa"/>
        <w:tblInd w:w="20" w:type="dxa"/>
        <w:tblLayout w:type="fixed"/>
        <w:tblLook w:val="04A0"/>
      </w:tblPr>
      <w:tblGrid>
        <w:gridCol w:w="8850"/>
      </w:tblGrid>
      <w:tr w:rsidR="00E944C2">
        <w:trPr>
          <w:cantSplit/>
          <w:trHeight w:val="1335"/>
          <w:tblHeader/>
        </w:trPr>
        <w:tc>
          <w:tcPr>
            <w:tcW w:w="885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16"/>
        <w:tblW w:w="8761" w:type="dxa"/>
        <w:tblInd w:w="20" w:type="dxa"/>
        <w:tblLayout w:type="fixed"/>
        <w:tblLook w:val="04A0"/>
      </w:tblPr>
      <w:tblGrid>
        <w:gridCol w:w="8761"/>
      </w:tblGrid>
      <w:tr w:rsidR="00E944C2" w:rsidTr="006A0398">
        <w:trPr>
          <w:cantSplit/>
          <w:trHeight w:val="2370"/>
          <w:tblHeader/>
        </w:trPr>
        <w:tc>
          <w:tcPr>
            <w:tcW w:w="8761"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after="0" w:line="276" w:lineRule="auto"/>
              <w:jc w:val="both"/>
              <w:rPr>
                <w:rFonts w:ascii="Times New Roman" w:eastAsia="Times New Roman" w:hAnsi="Times New Roman" w:cs="Times New Roman"/>
                <w:b/>
                <w:sz w:val="24"/>
                <w:szCs w:val="24"/>
              </w:rPr>
            </w:pPr>
          </w:p>
          <w:p w:rsidR="00E944C2" w:rsidRDefault="00E944C2" w:rsidP="00316155">
            <w:pPr>
              <w:pStyle w:val="Normal1"/>
              <w:spacing w:after="0" w:line="276" w:lineRule="auto"/>
              <w:jc w:val="both"/>
              <w:rPr>
                <w:rFonts w:ascii="Times New Roman" w:eastAsia="Times New Roman" w:hAnsi="Times New Roman" w:cs="Times New Roman"/>
                <w:b/>
                <w:sz w:val="24"/>
                <w:szCs w:val="24"/>
              </w:rPr>
            </w:pPr>
          </w:p>
          <w:p w:rsidR="00E944C2" w:rsidRDefault="00E944C2" w:rsidP="00316155">
            <w:pPr>
              <w:pStyle w:val="Normal1"/>
              <w:spacing w:after="0" w:line="276" w:lineRule="auto"/>
              <w:jc w:val="both"/>
              <w:rPr>
                <w:rFonts w:ascii="Times New Roman" w:eastAsia="Times New Roman" w:hAnsi="Times New Roman" w:cs="Times New Roman"/>
                <w:b/>
                <w:sz w:val="24"/>
                <w:szCs w:val="24"/>
              </w:rPr>
            </w:pPr>
          </w:p>
          <w:p w:rsidR="00E944C2" w:rsidRDefault="00F7666C" w:rsidP="00316155">
            <w:pPr>
              <w:pStyle w:val="Normal1"/>
              <w:spacing w:after="0" w:line="276" w:lineRule="auto"/>
              <w:jc w:val="both"/>
              <w:rPr>
                <w:rFonts w:ascii="Times New Roman" w:eastAsia="Times New Roman" w:hAnsi="Times New Roman" w:cs="Times New Roman"/>
                <w:b/>
                <w:color w:val="FF0000"/>
                <w:sz w:val="24"/>
                <w:szCs w:val="24"/>
                <w:u w:val="single"/>
              </w:rPr>
            </w:pPr>
            <w:r>
              <w:rPr>
                <w:rFonts w:ascii="Times New Roman" w:eastAsia="Times New Roman" w:hAnsi="Times New Roman" w:cs="Times New Roman"/>
                <w:b/>
                <w:sz w:val="24"/>
                <w:szCs w:val="24"/>
              </w:rPr>
              <w:t>PROJEKAT BROJ 36 –IZGRADNJA REGIONALNOG FUDBALSKOG KAMPA</w:t>
            </w:r>
          </w:p>
        </w:tc>
      </w:tr>
      <w:tr w:rsidR="00E944C2" w:rsidTr="006A0398">
        <w:trPr>
          <w:cantSplit/>
          <w:trHeight w:val="1860"/>
          <w:tblHeader/>
        </w:trPr>
        <w:tc>
          <w:tcPr>
            <w:tcW w:w="8761"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sportske infrastrukture i djelatnosti.</w:t>
            </w:r>
          </w:p>
        </w:tc>
      </w:tr>
      <w:tr w:rsidR="00E944C2" w:rsidTr="006A0398">
        <w:trPr>
          <w:cantSplit/>
          <w:trHeight w:val="7830"/>
          <w:tblHeader/>
        </w:trPr>
        <w:tc>
          <w:tcPr>
            <w:tcW w:w="8761"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6A0398" w:rsidRDefault="00F7666C" w:rsidP="006A0398">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6A0398">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U cilju rasterećenja postojećih lokalnih fudbalskih terena i smanjenja troškova zakupa za klubove sa teritorije koju pokriva Glavni grad, planirana je izgradnja regionalnog fudbalskog kampa. Fudbalski savez Crne Gore je iskazao spremnost da finansira izgradnju tri terena (jedan sa prirodnom i dva sa vještačkom travom), svlačionica za sportiste i manjih tribina za gledaoce. Projekat će doprinijeti unapređenju sportskih uslova i razvoju fudbalske infrastrukture u Podgorici.</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Vrijednost projekta:</w:t>
            </w:r>
            <w:r>
              <w:rPr>
                <w:rFonts w:ascii="Times New Roman" w:eastAsia="Times New Roman" w:hAnsi="Times New Roman" w:cs="Times New Roman"/>
                <w:sz w:val="24"/>
                <w:szCs w:val="24"/>
              </w:rPr>
              <w:t xml:space="preserve"> Finansiranje iz budžeta FSCG</w:t>
            </w:r>
            <w:r>
              <w:rPr>
                <w:rFonts w:ascii="Times New Roman" w:eastAsia="Times New Roman" w:hAnsi="Times New Roman" w:cs="Times New Roman"/>
                <w:sz w:val="24"/>
                <w:szCs w:val="24"/>
              </w:rPr>
              <w:br/>
              <w:t xml:space="preserve"> (Zemljište u vlasništvu Glavnog grada Podgorica)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Nosilac projekta / Vodeći partner:</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FSCG, Sekretarijat za sport Glavnog grada Podgorica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Fudbalski savez Crne Gore (FSCG)</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Direkcija za imovinu</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planiranje prostora i održivi razvoj</w:t>
            </w:r>
          </w:p>
          <w:p w:rsidR="006A0398" w:rsidRDefault="00F7666C" w:rsidP="006A0398">
            <w:pPr>
              <w:pStyle w:val="Normal1"/>
              <w:spacing w:before="240" w:after="240" w:line="276" w:lineRule="auto"/>
              <w:rPr>
                <w:rFonts w:ascii="Times New Roman" w:eastAsia="Times New Roman" w:hAnsi="Times New Roman" w:cs="Times New Roman"/>
                <w:b/>
                <w:sz w:val="24"/>
                <w:szCs w:val="24"/>
              </w:rPr>
            </w:pPr>
            <w:r>
              <w:rPr>
                <w:rFonts w:ascii="Times New Roman" w:eastAsia="Times New Roman" w:hAnsi="Times New Roman" w:cs="Times New Roman"/>
                <w:b/>
                <w:sz w:val="24"/>
                <w:szCs w:val="24"/>
              </w:rPr>
              <w:t>Status imovinsko-pravnih odnosa:</w:t>
            </w:r>
          </w:p>
          <w:p w:rsidR="00E944C2" w:rsidRDefault="00F7666C" w:rsidP="006A0398">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Imovinsko-pravni odnosi nijesu u potpunosti riješeni između Glavnog grada i FSCG. Potrebno je provjeriti pravni status i precizno definisati međusobne obaveze.Lokacija- zemljište za fudbalske terene Srednje fudbalske regije –naselje Zlatica</w:t>
            </w:r>
          </w:p>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w:t>
            </w: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tc>
      </w:tr>
    </w:tbl>
    <w:p w:rsidR="006A0398" w:rsidRDefault="006A0398"/>
    <w:tbl>
      <w:tblPr>
        <w:tblStyle w:val="16"/>
        <w:tblW w:w="8880" w:type="dxa"/>
        <w:tblInd w:w="20" w:type="dxa"/>
        <w:tblLayout w:type="fixed"/>
        <w:tblLook w:val="04A0"/>
      </w:tblPr>
      <w:tblGrid>
        <w:gridCol w:w="3549"/>
        <w:gridCol w:w="2096"/>
        <w:gridCol w:w="1677"/>
        <w:gridCol w:w="1439"/>
        <w:gridCol w:w="59"/>
        <w:gridCol w:w="60"/>
      </w:tblGrid>
      <w:tr w:rsidR="00E944C2" w:rsidTr="006A0398">
        <w:trPr>
          <w:gridAfter w:val="2"/>
          <w:wAfter w:w="119" w:type="dxa"/>
          <w:cantSplit/>
          <w:trHeight w:val="570"/>
          <w:tblHeader/>
        </w:trPr>
        <w:tc>
          <w:tcPr>
            <w:tcW w:w="8761" w:type="dxa"/>
            <w:gridSpan w:val="4"/>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6A0398">
        <w:trPr>
          <w:cantSplit/>
          <w:trHeight w:val="435"/>
          <w:tblHeader/>
        </w:trPr>
        <w:tc>
          <w:tcPr>
            <w:tcW w:w="3549"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FSCG, zemljište svojina Glavnog grada</w:t>
            </w:r>
          </w:p>
        </w:tc>
        <w:tc>
          <w:tcPr>
            <w:tcW w:w="209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67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98" w:type="dxa"/>
            <w:gridSpan w:val="2"/>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6A0398">
        <w:trPr>
          <w:cantSplit/>
          <w:trHeight w:val="1350"/>
          <w:tblHeader/>
        </w:trPr>
        <w:tc>
          <w:tcPr>
            <w:tcW w:w="3549"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9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67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gridSpan w:val="2"/>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6A0398">
        <w:trPr>
          <w:cantSplit/>
          <w:trHeight w:val="855"/>
          <w:tblHeader/>
        </w:trPr>
        <w:tc>
          <w:tcPr>
            <w:tcW w:w="3549"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096"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67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498" w:type="dxa"/>
            <w:gridSpan w:val="2"/>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6A0398">
        <w:trPr>
          <w:cantSplit/>
          <w:trHeight w:val="570"/>
          <w:tblHeader/>
        </w:trPr>
        <w:tc>
          <w:tcPr>
            <w:tcW w:w="354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9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7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gridSpan w:val="2"/>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6A0398">
        <w:trPr>
          <w:cantSplit/>
          <w:trHeight w:val="570"/>
          <w:tblHeader/>
        </w:trPr>
        <w:tc>
          <w:tcPr>
            <w:tcW w:w="354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9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7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gridSpan w:val="2"/>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2F3E03" w:rsidRDefault="002F3E03"/>
    <w:tbl>
      <w:tblPr>
        <w:tblStyle w:val="16"/>
        <w:tblW w:w="8880" w:type="dxa"/>
        <w:tblInd w:w="20" w:type="dxa"/>
        <w:tblLayout w:type="fixed"/>
        <w:tblLook w:val="04A0"/>
      </w:tblPr>
      <w:tblGrid>
        <w:gridCol w:w="8880"/>
      </w:tblGrid>
      <w:tr w:rsidR="00E944C2">
        <w:trPr>
          <w:cantSplit/>
          <w:trHeight w:val="2145"/>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37 –  </w:t>
            </w:r>
            <w:r>
              <w:rPr>
                <w:rFonts w:ascii="Times New Roman" w:eastAsia="Times New Roman" w:hAnsi="Times New Roman" w:cs="Times New Roman"/>
                <w:sz w:val="24"/>
                <w:szCs w:val="24"/>
              </w:rPr>
              <w:t>REKONSTRUKCIJA STADIONA MALIH SPORTOVA</w:t>
            </w:r>
          </w:p>
        </w:tc>
      </w:tr>
      <w:tr w:rsidR="00E944C2">
        <w:trPr>
          <w:cantSplit/>
          <w:trHeight w:val="1860"/>
          <w:tblHeader/>
        </w:trPr>
        <w:tc>
          <w:tcPr>
            <w:tcW w:w="888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40"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sportske infrastrukture i djelatnosti.</w:t>
            </w:r>
          </w:p>
          <w:p w:rsidR="00E944C2" w:rsidRDefault="00E944C2" w:rsidP="00316155">
            <w:pPr>
              <w:pStyle w:val="Normal1"/>
              <w:spacing w:before="240" w:after="0" w:line="240" w:lineRule="auto"/>
              <w:jc w:val="both"/>
              <w:rPr>
                <w:rFonts w:ascii="Times New Roman" w:eastAsia="Times New Roman" w:hAnsi="Times New Roman" w:cs="Times New Roman"/>
                <w:color w:val="FFFFFF"/>
                <w:sz w:val="24"/>
                <w:szCs w:val="24"/>
              </w:rPr>
            </w:pPr>
          </w:p>
        </w:tc>
      </w:tr>
      <w:tr w:rsidR="00E944C2">
        <w:trPr>
          <w:cantSplit/>
          <w:trHeight w:val="5040"/>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Rekonstrukcija postojećeg objekta, uz prilagođavanje dimenzija za sportove kao što su minifudbal, 3x3 basket i rukomet. Ugradnja kvalitetne podloge i tehničke opreme za održavanje noćnih turnira, manifestacija i školsko-rekreativnih programa. </w:t>
            </w:r>
          </w:p>
          <w:p w:rsidR="00E944C2" w:rsidRDefault="00F7666C" w:rsidP="00316155">
            <w:pPr>
              <w:pStyle w:val="Normal1"/>
              <w:spacing w:before="24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sport Glavnog grada</w:t>
            </w:r>
          </w:p>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Subjekti uključeni u implementaciju: </w:t>
            </w:r>
            <w:r>
              <w:rPr>
                <w:rFonts w:ascii="Times New Roman" w:eastAsia="Times New Roman" w:hAnsi="Times New Roman" w:cs="Times New Roman"/>
                <w:sz w:val="24"/>
                <w:szCs w:val="24"/>
              </w:rPr>
              <w:t>Sportski objekti doo</w:t>
            </w:r>
          </w:p>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Glavni grad Podgorica, Sportski objekti doo</w:t>
            </w:r>
          </w:p>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Trenutni status: Agencija za izgradnju</w:t>
            </w:r>
          </w:p>
        </w:tc>
      </w:tr>
    </w:tbl>
    <w:p w:rsidR="006A0398" w:rsidRDefault="006A0398"/>
    <w:p w:rsidR="006A0398" w:rsidRDefault="006A0398"/>
    <w:p w:rsidR="006A0398" w:rsidRDefault="006A0398"/>
    <w:tbl>
      <w:tblPr>
        <w:tblStyle w:val="16"/>
        <w:tblW w:w="8880" w:type="dxa"/>
        <w:tblInd w:w="20" w:type="dxa"/>
        <w:tblLayout w:type="fixed"/>
        <w:tblLook w:val="04A0"/>
      </w:tblPr>
      <w:tblGrid>
        <w:gridCol w:w="3549"/>
        <w:gridCol w:w="2096"/>
        <w:gridCol w:w="1677"/>
        <w:gridCol w:w="1498"/>
        <w:gridCol w:w="60"/>
      </w:tblGrid>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5"/>
          <w:tblHeader/>
        </w:trPr>
        <w:tc>
          <w:tcPr>
            <w:tcW w:w="3549"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209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67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9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40" w:lineRule="auto"/>
              <w:jc w:val="both"/>
              <w:rPr>
                <w:rFonts w:ascii="Times New Roman" w:eastAsia="Times New Roman" w:hAnsi="Times New Roman" w:cs="Times New Roman"/>
                <w:sz w:val="24"/>
                <w:szCs w:val="24"/>
              </w:rPr>
            </w:pPr>
          </w:p>
        </w:tc>
      </w:tr>
      <w:tr w:rsidR="00E944C2" w:rsidTr="00316155">
        <w:trPr>
          <w:cantSplit/>
          <w:trHeight w:val="1350"/>
          <w:tblHeader/>
        </w:trPr>
        <w:tc>
          <w:tcPr>
            <w:tcW w:w="3549"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40" w:lineRule="auto"/>
              <w:jc w:val="both"/>
              <w:rPr>
                <w:rFonts w:ascii="Times New Roman" w:eastAsia="Times New Roman" w:hAnsi="Times New Roman" w:cs="Times New Roman"/>
                <w:sz w:val="24"/>
                <w:szCs w:val="24"/>
              </w:rPr>
            </w:pPr>
          </w:p>
        </w:tc>
        <w:tc>
          <w:tcPr>
            <w:tcW w:w="209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67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49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40" w:lineRule="auto"/>
              <w:jc w:val="both"/>
              <w:rPr>
                <w:rFonts w:ascii="Times New Roman" w:eastAsia="Times New Roman" w:hAnsi="Times New Roman" w:cs="Times New Roman"/>
                <w:sz w:val="24"/>
                <w:szCs w:val="24"/>
              </w:rPr>
            </w:pPr>
          </w:p>
        </w:tc>
      </w:tr>
    </w:tbl>
    <w:p w:rsidR="002F3E03" w:rsidRDefault="002F3E03"/>
    <w:tbl>
      <w:tblPr>
        <w:tblStyle w:val="16"/>
        <w:tblW w:w="8880" w:type="dxa"/>
        <w:tblInd w:w="20" w:type="dxa"/>
        <w:tblLayout w:type="fixed"/>
        <w:tblLook w:val="04A0"/>
      </w:tblPr>
      <w:tblGrid>
        <w:gridCol w:w="3549"/>
        <w:gridCol w:w="2096"/>
        <w:gridCol w:w="1677"/>
        <w:gridCol w:w="1498"/>
        <w:gridCol w:w="60"/>
      </w:tblGrid>
      <w:tr w:rsidR="00E944C2" w:rsidTr="00316155">
        <w:trPr>
          <w:cantSplit/>
          <w:trHeight w:val="855"/>
          <w:tblHeader/>
        </w:trPr>
        <w:tc>
          <w:tcPr>
            <w:tcW w:w="3549"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096"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67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49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40"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40" w:lineRule="auto"/>
              <w:jc w:val="both"/>
              <w:rPr>
                <w:rFonts w:ascii="Times New Roman" w:eastAsia="Times New Roman" w:hAnsi="Times New Roman" w:cs="Times New Roman"/>
                <w:sz w:val="24"/>
                <w:szCs w:val="24"/>
              </w:rPr>
            </w:pPr>
          </w:p>
        </w:tc>
      </w:tr>
      <w:tr w:rsidR="00E944C2" w:rsidTr="00316155">
        <w:trPr>
          <w:cantSplit/>
          <w:trHeight w:val="570"/>
          <w:tblHeader/>
        </w:trPr>
        <w:tc>
          <w:tcPr>
            <w:tcW w:w="354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9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7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rsidTr="00316155">
        <w:trPr>
          <w:cantSplit/>
          <w:trHeight w:val="570"/>
          <w:tblHeader/>
        </w:trPr>
        <w:tc>
          <w:tcPr>
            <w:tcW w:w="354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209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67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bl>
      <w:tblPr>
        <w:tblStyle w:val="15"/>
        <w:tblW w:w="9240" w:type="dxa"/>
        <w:tblInd w:w="20" w:type="dxa"/>
        <w:tblLayout w:type="fixed"/>
        <w:tblLook w:val="04A0"/>
      </w:tblPr>
      <w:tblGrid>
        <w:gridCol w:w="4650"/>
        <w:gridCol w:w="1770"/>
        <w:gridCol w:w="1470"/>
        <w:gridCol w:w="1260"/>
        <w:gridCol w:w="90"/>
      </w:tblGrid>
      <w:tr w:rsidR="00E944C2">
        <w:trPr>
          <w:cantSplit/>
          <w:trHeight w:val="855"/>
          <w:tblHeader/>
        </w:trPr>
        <w:tc>
          <w:tcPr>
            <w:tcW w:w="9150" w:type="dxa"/>
            <w:gridSpan w:val="4"/>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38  – ZAJEDNIČKI PROJEKAT SA CRNOGORSKIM OLIMPIJSKIM KOMITETOM - IZGRADNJA OLIMPIJSKE KUĆE </w:t>
            </w:r>
            <w:r>
              <w:rPr>
                <w:rFonts w:ascii="Times New Roman" w:eastAsia="Times New Roman" w:hAnsi="Times New Roman" w:cs="Times New Roman"/>
                <w:b/>
                <w:sz w:val="24"/>
                <w:szCs w:val="24"/>
              </w:rPr>
              <w:br/>
            </w:r>
          </w:p>
        </w:tc>
        <w:tc>
          <w:tcPr>
            <w:tcW w:w="90" w:type="dxa"/>
            <w:tcBorders>
              <w:top w:val="nil"/>
              <w:left w:val="nil"/>
              <w:bottom w:val="nil"/>
              <w:right w:val="nil"/>
            </w:tcBorders>
            <w:shd w:val="clear" w:color="auto" w:fill="auto"/>
            <w:tcMar>
              <w:top w:w="0" w:type="dxa"/>
              <w:left w:w="0" w:type="dxa"/>
              <w:bottom w:w="0" w:type="dxa"/>
              <w:right w:w="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r>
      <w:tr w:rsidR="00E944C2">
        <w:trPr>
          <w:cantSplit/>
          <w:trHeight w:val="1860"/>
          <w:tblHeader/>
        </w:trPr>
        <w:tc>
          <w:tcPr>
            <w:tcW w:w="9150" w:type="dxa"/>
            <w:gridSpan w:val="4"/>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dalji razvoj i unapređenje sportske infrastrukture i djelatnosti.</w:t>
            </w:r>
          </w:p>
          <w:p w:rsidR="00E944C2" w:rsidRDefault="00E944C2" w:rsidP="00316155">
            <w:pPr>
              <w:pStyle w:val="Normal1"/>
              <w:spacing w:before="240" w:after="0" w:line="276" w:lineRule="auto"/>
              <w:jc w:val="both"/>
              <w:rPr>
                <w:rFonts w:ascii="Times New Roman" w:eastAsia="Times New Roman" w:hAnsi="Times New Roman" w:cs="Times New Roman"/>
                <w:color w:val="FFFFFF"/>
                <w:sz w:val="24"/>
                <w:szCs w:val="24"/>
              </w:rPr>
            </w:pPr>
          </w:p>
        </w:tc>
        <w:tc>
          <w:tcPr>
            <w:tcW w:w="90" w:type="dxa"/>
            <w:tcBorders>
              <w:top w:val="nil"/>
              <w:left w:val="nil"/>
              <w:bottom w:val="nil"/>
              <w:right w:val="nil"/>
            </w:tcBorders>
            <w:shd w:val="clear" w:color="auto" w:fill="auto"/>
            <w:tcMar>
              <w:top w:w="0" w:type="dxa"/>
              <w:left w:w="0" w:type="dxa"/>
              <w:bottom w:w="0" w:type="dxa"/>
              <w:right w:w="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r>
      <w:tr w:rsidR="00E944C2">
        <w:trPr>
          <w:cantSplit/>
          <w:trHeight w:val="6495"/>
          <w:tblHeader/>
        </w:trPr>
        <w:tc>
          <w:tcPr>
            <w:tcW w:w="9150" w:type="dxa"/>
            <w:gridSpan w:val="4"/>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3E254D"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w:t>
            </w:r>
            <w:r w:rsidR="003E254D">
              <w:rPr>
                <w:rFonts w:ascii="Times New Roman" w:eastAsia="Times New Roman" w:hAnsi="Times New Roman" w:cs="Times New Roman"/>
                <w:b/>
                <w:sz w:val="24"/>
                <w:szCs w:val="24"/>
              </w:rPr>
              <w:t xml:space="preserve"> </w:t>
            </w:r>
            <w:r>
              <w:rPr>
                <w:rFonts w:ascii="Times New Roman" w:eastAsia="Times New Roman" w:hAnsi="Times New Roman" w:cs="Times New Roman"/>
                <w:b/>
                <w:sz w:val="24"/>
                <w:szCs w:val="24"/>
              </w:rPr>
              <w:t>projekta:</w:t>
            </w: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Projekat podrazumijeva izgradnju administrativnog centra koji će objediniti rad svih nacionalnih i gradskih sportskih organizacija. Cilj projekta je unapređenje efikasnosti rada, jačanje međunarodne saradnje i realizacija edukativnih programa u oblasti sporta.</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Nosilac projekta / Vodeći partner:</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Vlada Crne Gore</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Glavni</w:t>
            </w:r>
            <w:r w:rsidR="003E25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grad Podgorica</w:t>
            </w:r>
            <w:r w:rsidR="003E254D">
              <w:rPr>
                <w:rFonts w:ascii="Times New Roman" w:eastAsia="Times New Roman" w:hAnsi="Times New Roman" w:cs="Times New Roman"/>
                <w:sz w:val="24"/>
                <w:szCs w:val="24"/>
              </w:rPr>
              <w:t xml:space="preserve"> (u partnerstvu sa Crnogorskim olimpijskim i </w:t>
            </w:r>
            <w:r>
              <w:rPr>
                <w:rFonts w:ascii="Times New Roman" w:eastAsia="Times New Roman" w:hAnsi="Times New Roman" w:cs="Times New Roman"/>
                <w:sz w:val="24"/>
                <w:szCs w:val="24"/>
              </w:rPr>
              <w:br/>
              <w:t xml:space="preserve"> (Međunarodnim olimpijskim komitetom)</w:t>
            </w:r>
          </w:p>
          <w:p w:rsidR="00E944C2" w:rsidRDefault="00F7666C" w:rsidP="00316155">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Subjekti uključeni u implementaciju:</w:t>
            </w:r>
          </w:p>
          <w:p w:rsidR="00E944C2" w:rsidRDefault="00F7666C" w:rsidP="00316155">
            <w:pPr>
              <w:pStyle w:val="Normal1"/>
              <w:spacing w:before="240" w:after="240" w:line="276" w:lineRule="auto"/>
              <w:ind w:left="1080" w:hanging="360"/>
              <w:jc w:val="both"/>
              <w:rPr>
                <w:rFonts w:ascii="Times New Roman" w:eastAsia="Times New Roman" w:hAnsi="Times New Roman" w:cs="Times New Roman"/>
                <w:sz w:val="24"/>
                <w:szCs w:val="24"/>
              </w:rPr>
            </w:pPr>
            <w:r>
              <w:rPr>
                <w:rFonts w:ascii="Times New Roman" w:eastAsia="Times New Roman" w:hAnsi="Times New Roman" w:cs="Times New Roman"/>
                <w:sz w:val="20"/>
                <w:szCs w:val="20"/>
              </w:rPr>
              <w:t>·</w:t>
            </w:r>
            <w:r>
              <w:rPr>
                <w:rFonts w:ascii="Times New Roman" w:eastAsia="Times New Roman" w:hAnsi="Times New Roman" w:cs="Times New Roman"/>
                <w:sz w:val="24"/>
                <w:szCs w:val="24"/>
              </w:rPr>
              <w:t>Sekretarijat za sport Glavnog grada</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imovinsko-pravnih odnosa: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Postoji zaključak Vlade Crne Gore o dodjeli odgovarajuće parcele za potrebe projekta. Lokacije je između  MRC-a i buduće zgrade MIF-a na Bulevaru Ivana Crnojevića.</w:t>
            </w:r>
          </w:p>
          <w:p w:rsidR="00E944C2" w:rsidRDefault="00F7666C" w:rsidP="006A0398">
            <w:pPr>
              <w:pStyle w:val="Normal1"/>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b/>
                <w:sz w:val="24"/>
                <w:szCs w:val="24"/>
              </w:rPr>
              <w:t>Trenutni status projekta: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 xml:space="preserve"> U toku je priprema dokumentacije i planiranje početnih aktivnosti za realizaciju projekta, na osnovu donesenog zaključka Vlade o dodjeli zemljišta.</w:t>
            </w: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c>
          <w:tcPr>
            <w:tcW w:w="90" w:type="dxa"/>
            <w:tcBorders>
              <w:top w:val="nil"/>
              <w:left w:val="nil"/>
              <w:bottom w:val="nil"/>
              <w:right w:val="nil"/>
            </w:tcBorders>
            <w:shd w:val="clear" w:color="auto" w:fill="auto"/>
            <w:tcMar>
              <w:top w:w="0" w:type="dxa"/>
              <w:left w:w="0" w:type="dxa"/>
              <w:bottom w:w="0" w:type="dxa"/>
              <w:right w:w="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r>
      <w:tr w:rsidR="00E944C2">
        <w:trPr>
          <w:cantSplit/>
          <w:trHeight w:val="570"/>
          <w:tblHeader/>
        </w:trPr>
        <w:tc>
          <w:tcPr>
            <w:tcW w:w="9150" w:type="dxa"/>
            <w:gridSpan w:val="4"/>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c>
          <w:tcPr>
            <w:tcW w:w="90" w:type="dxa"/>
            <w:tcBorders>
              <w:top w:val="nil"/>
              <w:left w:val="nil"/>
              <w:bottom w:val="nil"/>
              <w:right w:val="nil"/>
            </w:tcBorders>
            <w:shd w:val="clear" w:color="auto" w:fill="auto"/>
            <w:tcMar>
              <w:top w:w="0" w:type="dxa"/>
              <w:left w:w="0" w:type="dxa"/>
              <w:bottom w:w="0" w:type="dxa"/>
              <w:right w:w="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r>
      <w:tr w:rsidR="00E944C2">
        <w:trPr>
          <w:cantSplit/>
          <w:trHeight w:val="435"/>
          <w:tblHeader/>
        </w:trPr>
        <w:tc>
          <w:tcPr>
            <w:tcW w:w="465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Vlada CG, MOK i COK, Glavni grad</w:t>
            </w:r>
          </w:p>
        </w:tc>
        <w:tc>
          <w:tcPr>
            <w:tcW w:w="177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7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26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350"/>
          <w:tblHeader/>
        </w:trPr>
        <w:tc>
          <w:tcPr>
            <w:tcW w:w="465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77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t xml:space="preserve"> +</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47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26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855"/>
          <w:tblHeader/>
        </w:trPr>
        <w:tc>
          <w:tcPr>
            <w:tcW w:w="465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77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47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26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750"/>
          <w:tblHeader/>
        </w:trPr>
        <w:tc>
          <w:tcPr>
            <w:tcW w:w="465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Glavnog projekta, raspisivanje tendera i izbor izvođača radova</w:t>
            </w:r>
          </w:p>
        </w:tc>
        <w:tc>
          <w:tcPr>
            <w:tcW w:w="17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2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465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w:t>
            </w:r>
          </w:p>
        </w:tc>
        <w:tc>
          <w:tcPr>
            <w:tcW w:w="17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2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465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i prijem radova</w:t>
            </w:r>
          </w:p>
        </w:tc>
        <w:tc>
          <w:tcPr>
            <w:tcW w:w="17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47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2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2028</w:t>
            </w:r>
          </w:p>
        </w:tc>
        <w:tc>
          <w:tcPr>
            <w:tcW w:w="9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bl>
      <w:tblPr>
        <w:tblStyle w:val="14"/>
        <w:tblW w:w="8880" w:type="dxa"/>
        <w:tblInd w:w="20" w:type="dxa"/>
        <w:tblLayout w:type="fixed"/>
        <w:tblLook w:val="04A0"/>
      </w:tblPr>
      <w:tblGrid>
        <w:gridCol w:w="2082"/>
        <w:gridCol w:w="2285"/>
        <w:gridCol w:w="2126"/>
        <w:gridCol w:w="2327"/>
        <w:gridCol w:w="60"/>
      </w:tblGrid>
      <w:tr w:rsidR="00E944C2">
        <w:trPr>
          <w:cantSplit/>
          <w:trHeight w:val="855"/>
          <w:tblHeader/>
        </w:trPr>
        <w:tc>
          <w:tcPr>
            <w:tcW w:w="8880" w:type="dxa"/>
            <w:gridSpan w:val="5"/>
            <w:tcBorders>
              <w:top w:val="nil"/>
              <w:left w:val="single" w:sz="6" w:space="0" w:color="BFBFBF"/>
              <w:bottom w:val="nil"/>
              <w:right w:val="single" w:sz="6" w:space="0" w:color="BFBFBF"/>
            </w:tcBorders>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39 - </w:t>
            </w:r>
            <w:r>
              <w:rPr>
                <w:rFonts w:ascii="Times New Roman" w:eastAsia="Times New Roman" w:hAnsi="Times New Roman" w:cs="Times New Roman"/>
                <w:sz w:val="24"/>
                <w:szCs w:val="24"/>
              </w:rPr>
              <w:t>VALORIZACIJA KULTURNOG DOBRA MEDUN</w:t>
            </w:r>
          </w:p>
        </w:tc>
      </w:tr>
      <w:tr w:rsidR="00E944C2">
        <w:trPr>
          <w:cantSplit/>
          <w:trHeight w:val="187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Okončanje arheoloških istraživanja medunske tvrđave, izrada konzervatorskog projekta i moguća rekonstrukcija tvrđave, u skladu sa arheološkim nalazima i konzervatorskim uslovima Uprave za zaštitu kulturnih dobara.</w:t>
            </w:r>
          </w:p>
        </w:tc>
      </w:tr>
      <w:tr w:rsidR="00E944C2">
        <w:trPr>
          <w:cantSplit/>
          <w:trHeight w:val="1150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Adekvatna valorizacija kulturnog dobra Medun jedan je od prioriteta kulturne politike u dijelu korišćenja ogromnih potencijala kulturne baštine na prostoru Glavnog grada. Nalazi sa lokaliteta Medun sežu i do III i IV vijeka prije nove ere. Medun je specifičan po  višeslojnosti istorijskih nalaza, a na medunskoj tvrđavi već su odrađena dva ciklusa arheoloških istraživanja. Preostalo je da se istraži  donji dio utvrđenja, za šta su od strane Glavnog grada i Ministarstva kulture u 2025. godini obezbijeđena novčana sredstva u iznosu od  50.000 eura, čime bi se stvorile pretpostavke za izradu konzervatorskog projekta i moguću rekonstrukciju tvrđave koja i u ovom stanju, uz opasnost obrušavanja dijela bedema, privlači značajan broj posjetilaca. Eventualna rekonstrukcija tvrđave, u skladu sa nalazima i istorijskim izvorima, donijela bi ogromnu novu vrijednost kulturnoj i turističkoj ponudi Grada i prostoru Kuča kojem pripada u užem smislu.</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Paralelno, tokom 2026. i narednih godina neophodno je izdvajati sredstva za dalja arheološka istraživanja kulturnog dobra Medun koje je bogato nalazima iz različitih epoha i mimo trenutno aktuelnih istraživanja prostora tvrđave (procjena je da bi od 2026. Do 2030. godine svake godine trebalo izdvajati po 20.000 eura za arheološka istraživanja.</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kulturu, JU Muzeji i galerije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JU Centar za konzervaciju i arheologiju, Ministarstvo culture, Uprava za zaštitu kulturnih dobara, Turistička organizacija Podgorice.</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-Parcela na kojoj se nalazi medunska tvrđava u vlasništvu je Države Crne Gore, a nije definisan korisnik parcele. Glavni grad je na inicijativu Sekretarijata prije nekoliko godina pokrenuo postupak vraćanja statusa svojine/korišćenja predmetne parcele. Parcela i kulturno dobro sve do prije petnaestak godina bili su upisani na Glavni grad Podgoricu, za šta postoji i dokumentacija koja je priložena nadležnim institucijama. U cilju dinamiziranja realizacije projekta, posebno  fazama izrade konzervatorskog projekta i moguće rekonstrukcije/sanacije tvrđave, neophodno je intenzivirati procedure u cilju ponovnog sticanja statusa vlasnika/korisnika predmetne parcele.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Tokom 2025. i početkom 2026. godine očekuje se završetak arheoloških istraživanja na medunskoj tvrđavi.</w:t>
            </w:r>
          </w:p>
          <w:p w:rsidR="00E944C2" w:rsidRDefault="00E944C2" w:rsidP="00E36C81">
            <w:pPr>
              <w:pStyle w:val="Normal1"/>
              <w:spacing w:before="240" w:after="0" w:line="276" w:lineRule="auto"/>
              <w:jc w:val="both"/>
              <w:rPr>
                <w:rFonts w:ascii="Times New Roman" w:eastAsia="Times New Roman" w:hAnsi="Times New Roman" w:cs="Times New Roman"/>
                <w:color w:val="FF0000"/>
                <w:sz w:val="24"/>
                <w:szCs w:val="24"/>
              </w:rPr>
            </w:pP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E254D">
        <w:trPr>
          <w:cantSplit/>
          <w:trHeight w:val="435"/>
          <w:tblHeader/>
        </w:trPr>
        <w:tc>
          <w:tcPr>
            <w:tcW w:w="2082"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kulture</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Donacije lokalnih privrednika</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tc>
        <w:tc>
          <w:tcPr>
            <w:tcW w:w="228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212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2327"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3375"/>
          <w:tblHeader/>
        </w:trPr>
        <w:tc>
          <w:tcPr>
            <w:tcW w:w="2082"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28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50.000 eura (Budžet Glavnog grada 30.000 eura, opredijeljena sredstva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Ministarstva kulture  20.000 eura)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2126"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50.000 eura za konzervatorski projekat i 20.000 za arheološka istraživanja na lokalitetu Medun</w:t>
            </w:r>
          </w:p>
        </w:tc>
        <w:tc>
          <w:tcPr>
            <w:tcW w:w="2327"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20.000 za arheološka istraživanja na lokalitetu Medun, sredstva za rekonstrukciju/sanaciju tvrđave</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855"/>
          <w:tblHeader/>
        </w:trPr>
        <w:tc>
          <w:tcPr>
            <w:tcW w:w="2082"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28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2126"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2327"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1995"/>
          <w:tblHeader/>
        </w:trPr>
        <w:tc>
          <w:tcPr>
            <w:tcW w:w="208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Finalizacija arheoloških istraživanja medunske tvrđave</w:t>
            </w:r>
          </w:p>
        </w:tc>
        <w:tc>
          <w:tcPr>
            <w:tcW w:w="22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Sekretarijata za kulturu/JU Muzeji i galerije/ Centar za konzervaciju i arheologiju</w:t>
            </w:r>
          </w:p>
        </w:tc>
        <w:tc>
          <w:tcPr>
            <w:tcW w:w="21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oktobar/novembar 2025. godine</w:t>
            </w:r>
          </w:p>
        </w:tc>
        <w:tc>
          <w:tcPr>
            <w:tcW w:w="232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april/maj 2026.</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1875"/>
          <w:tblHeader/>
        </w:trPr>
        <w:tc>
          <w:tcPr>
            <w:tcW w:w="208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Dobijanje konzervatorskih uslova i izrada konzervatorskog projekta medunske tvrđave</w:t>
            </w:r>
          </w:p>
        </w:tc>
        <w:tc>
          <w:tcPr>
            <w:tcW w:w="22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kulturu/JU Muzeji i galerije</w:t>
            </w:r>
          </w:p>
        </w:tc>
        <w:tc>
          <w:tcPr>
            <w:tcW w:w="21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druga polovina 2026. godine</w:t>
            </w:r>
          </w:p>
        </w:tc>
        <w:tc>
          <w:tcPr>
            <w:tcW w:w="232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decembar 2026. godine</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1155"/>
          <w:tblHeader/>
        </w:trPr>
        <w:tc>
          <w:tcPr>
            <w:tcW w:w="208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Sanacija / rekonstrukcija tvrđave</w:t>
            </w:r>
          </w:p>
        </w:tc>
        <w:tc>
          <w:tcPr>
            <w:tcW w:w="22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kulturu/JU Muzeji i galerije</w:t>
            </w:r>
          </w:p>
        </w:tc>
        <w:tc>
          <w:tcPr>
            <w:tcW w:w="21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april 2027. godine</w:t>
            </w:r>
          </w:p>
        </w:tc>
        <w:tc>
          <w:tcPr>
            <w:tcW w:w="232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1995"/>
          <w:tblHeader/>
        </w:trPr>
        <w:tc>
          <w:tcPr>
            <w:tcW w:w="208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Arheološka istraživanja na lokalitetu (mimo tvrđave)</w:t>
            </w:r>
          </w:p>
        </w:tc>
        <w:tc>
          <w:tcPr>
            <w:tcW w:w="22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Sekretarijata za kulturu/JU Muzeji i galerije/ Centar za konzervaciju i arheologiju</w:t>
            </w:r>
          </w:p>
        </w:tc>
        <w:tc>
          <w:tcPr>
            <w:tcW w:w="21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april – jun 2027. godine</w:t>
            </w:r>
          </w:p>
        </w:tc>
        <w:tc>
          <w:tcPr>
            <w:tcW w:w="232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E254D">
        <w:trPr>
          <w:cantSplit/>
          <w:trHeight w:val="570"/>
          <w:tblHeader/>
        </w:trPr>
        <w:tc>
          <w:tcPr>
            <w:tcW w:w="208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2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12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32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81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color w:val="FF0000"/>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bl>
      <w:tblPr>
        <w:tblStyle w:val="13"/>
        <w:tblW w:w="8895" w:type="dxa"/>
        <w:tblInd w:w="20" w:type="dxa"/>
        <w:tblLayout w:type="fixed"/>
        <w:tblLook w:val="04A0"/>
      </w:tblPr>
      <w:tblGrid>
        <w:gridCol w:w="8895"/>
      </w:tblGrid>
      <w:tr w:rsidR="00E944C2">
        <w:trPr>
          <w:cantSplit/>
          <w:trHeight w:val="855"/>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40 – </w:t>
            </w:r>
            <w:r>
              <w:rPr>
                <w:rFonts w:ascii="Times New Roman" w:eastAsia="Times New Roman" w:hAnsi="Times New Roman" w:cs="Times New Roman"/>
                <w:sz w:val="24"/>
                <w:szCs w:val="24"/>
              </w:rPr>
              <w:t>VALORIZACIJA KULTURNOG DOBRA DUKLJA</w:t>
            </w:r>
          </w:p>
        </w:tc>
      </w:tr>
      <w:tr w:rsidR="00E944C2">
        <w:trPr>
          <w:cantSplit/>
          <w:trHeight w:val="1875"/>
          <w:tblHeader/>
        </w:trPr>
        <w:tc>
          <w:tcPr>
            <w:tcW w:w="8895"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Nastavak arheoloških istraživanja na lokalitetu Duklja, otkup dijela parcela u privatnom vlasništvu, sprovođenje daljih aktivnosti u skladu sa Menadžment planom Duklje koji je u završnoj fazi.</w:t>
            </w:r>
          </w:p>
        </w:tc>
      </w:tr>
      <w:tr w:rsidR="00E944C2">
        <w:trPr>
          <w:cantSplit/>
          <w:trHeight w:val="10500"/>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Opis projekta: Do 2030. godine, a nadamo se i ranije, na Duklji je, na osnovu Menadžment plana i saglasnosti činilaca na lokalnom i državnom nivou neophodno otkupiti privatne parcele koje struka smatra prioritetnim za dalja istraživanja lokaliteta i širenje kompleksa koji se nalazi u javnom vlasništvu. Dalje, potrebno je izvršiti formiranje jedne organizacione jedinice koja će biti nosilac aktivnosti na lokalitetu, ali i prevesti sve parcele u javnom vlasništvu na novoformiranu jedinicu, u cilju što efikasnije realizacije zacrtanih aktivnosti. Nužno je značajno uvećati iznos godišnjih sredstava za arheološka istraživanja na Duklji, uz razmatranje mogućnosti za povlačenje sredstava iz međunarodnih izvora, imajući u vidu značaj lokaliteta koji se nalazi na Tentativnoj listi UNESCO-a. Nakon arheoloških istraživanja neophodno je stvoriti adekvatne uslove za prezentaciju nalaza.</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kulturu, JU Muzeji i galerije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JU Centar za konzervaciju i arheologiju, Ministarstvo kulture, Uprava za zaštitu kulturnih dobara, Turistička organizacija Podgorice</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-Kulturno dobro Duklja rasprostire se na velikoj površini, od koje je značajan dio parcela u posjedu privatnih lica. Dodatni problem je što  i parcelama koje se nalaze u javnom vlasništvu gazduju različiti subjekti.</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Na lokalitetu su ove godine realizovana arheološka istraživanja koja su, između ostalog, rezultirala važnim nalazom dijatrete iz IV vijeka. Sekretarijat za kulturu je za  istraživanja na Duklji opredijelio iznos od 20.000 eura u 2025. godini, dok je apliciranjem za sredstva kod Ministarstva kulture obezbijeđeno dodatnih 15.000 eura za arheološka istraživanja na lokalitetu . Trenutni status je da postoje brojni problemi koji moraju biti riješeni, od otkupa parcela u privatnom vlasništvu, preko gazdovanja nad parcelama koje se nalaze u vlasništvu Glavnog grada i Države Crne Gore. Problem je i neredovno održavanje lokaliteta, nepostojanje adekvatnih informacija za posjetioce lokaliteta, a već nekoliko godina čeka se na usvajanje Menadžment plana lokaliteta koji bi dao dalje smjernice u vezi sa valorizacijom Duklje.</w:t>
            </w:r>
          </w:p>
          <w:p w:rsidR="00E944C2" w:rsidRDefault="00E944C2" w:rsidP="00E36C81">
            <w:pPr>
              <w:pStyle w:val="Normal1"/>
              <w:spacing w:before="240" w:after="24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240" w:line="276" w:lineRule="auto"/>
              <w:jc w:val="both"/>
              <w:rPr>
                <w:rFonts w:ascii="Times New Roman" w:eastAsia="Times New Roman" w:hAnsi="Times New Roman" w:cs="Times New Roman"/>
                <w:sz w:val="24"/>
                <w:szCs w:val="24"/>
              </w:rPr>
            </w:pPr>
          </w:p>
        </w:tc>
      </w:tr>
    </w:tbl>
    <w:p w:rsidR="006A0398" w:rsidRDefault="006A0398"/>
    <w:tbl>
      <w:tblPr>
        <w:tblStyle w:val="13"/>
        <w:tblW w:w="8895" w:type="dxa"/>
        <w:tblInd w:w="20" w:type="dxa"/>
        <w:tblLayout w:type="fixed"/>
        <w:tblLook w:val="04A0"/>
      </w:tblPr>
      <w:tblGrid>
        <w:gridCol w:w="2246"/>
        <w:gridCol w:w="2755"/>
        <w:gridCol w:w="1887"/>
        <w:gridCol w:w="1947"/>
        <w:gridCol w:w="60"/>
      </w:tblGrid>
      <w:tr w:rsidR="00E944C2">
        <w:trPr>
          <w:cantSplit/>
          <w:trHeight w:val="57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6A0398">
        <w:trPr>
          <w:cantSplit/>
          <w:trHeight w:val="435"/>
          <w:tblHeader/>
        </w:trPr>
        <w:tc>
          <w:tcPr>
            <w:tcW w:w="2246"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kulture</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tc>
        <w:tc>
          <w:tcPr>
            <w:tcW w:w="27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88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947"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r>
      <w:tr w:rsidR="00E944C2" w:rsidTr="006A0398">
        <w:trPr>
          <w:cantSplit/>
          <w:trHeight w:val="3375"/>
          <w:tblHeader/>
        </w:trPr>
        <w:tc>
          <w:tcPr>
            <w:tcW w:w="2246"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7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35.000 eura (Budžet Glavnog grada 20.000 eura, opredijeljena sredstva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Ministarstva kulture  15.000 eura)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887"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50.000 eura za arheološka istraživanja na lokalitetu Duklja</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Razmotriti mogućnost otkupa prioritetnih parcela u privatnom vlasništvu</w:t>
            </w:r>
          </w:p>
        </w:tc>
        <w:tc>
          <w:tcPr>
            <w:tcW w:w="1947"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50.000 eura za arheološka istraživanja na lokalitetu Duklja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Razmotriti mogućnost otkupa prioritetnih parcela u privatnom vlasništvu</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855"/>
          <w:tblHeader/>
        </w:trPr>
        <w:tc>
          <w:tcPr>
            <w:tcW w:w="2246"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75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88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947"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1305"/>
          <w:tblHeader/>
        </w:trPr>
        <w:tc>
          <w:tcPr>
            <w:tcW w:w="2246"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Sprovođenje arheoloških istraživanja na lokalitetu Duklja  </w:t>
            </w:r>
          </w:p>
        </w:tc>
        <w:tc>
          <w:tcPr>
            <w:tcW w:w="27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kulturu/JU Muzeji i galerije/ Centar za konzervaciju i arheologiju</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194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1305"/>
          <w:tblHeader/>
        </w:trPr>
        <w:tc>
          <w:tcPr>
            <w:tcW w:w="2246"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Usvajanje Menadžment plana kulturnog dobra Duklja</w:t>
            </w:r>
          </w:p>
        </w:tc>
        <w:tc>
          <w:tcPr>
            <w:tcW w:w="27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Centar za konzervaciju i arheologiju / Ministarstvo kulture</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94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1020"/>
          <w:tblHeader/>
        </w:trPr>
        <w:tc>
          <w:tcPr>
            <w:tcW w:w="2246"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Otkup prioritetnih parcela u privatnom vlasništvu</w:t>
            </w:r>
          </w:p>
        </w:tc>
        <w:tc>
          <w:tcPr>
            <w:tcW w:w="27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grad/Direkcija za imovinu/Ministarstvo kulture</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194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1590"/>
          <w:tblHeader/>
        </w:trPr>
        <w:tc>
          <w:tcPr>
            <w:tcW w:w="2246"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Stvaranje uslova za adekvatnu prezentaciju nalaza sa arheološkog lokaliteta Duklja</w:t>
            </w:r>
          </w:p>
        </w:tc>
        <w:tc>
          <w:tcPr>
            <w:tcW w:w="27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 Muzeji i galerije</w:t>
            </w:r>
          </w:p>
        </w:tc>
        <w:tc>
          <w:tcPr>
            <w:tcW w:w="188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194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kontinuirano.</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81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color w:val="FF0000"/>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bl>
      <w:tblPr>
        <w:tblStyle w:val="12"/>
        <w:tblW w:w="8880" w:type="dxa"/>
        <w:tblInd w:w="20" w:type="dxa"/>
        <w:tblLayout w:type="fixed"/>
        <w:tblLook w:val="04A0"/>
      </w:tblPr>
      <w:tblGrid>
        <w:gridCol w:w="3413"/>
        <w:gridCol w:w="1827"/>
        <w:gridCol w:w="1528"/>
        <w:gridCol w:w="2052"/>
        <w:gridCol w:w="60"/>
      </w:tblGrid>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41 – VALORIZACIJA KULTURNOG DOBRA CRVENA STIJENA</w:t>
            </w:r>
          </w:p>
        </w:tc>
      </w:tr>
      <w:tr w:rsidR="00E944C2">
        <w:trPr>
          <w:cantSplit/>
          <w:trHeight w:val="322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Tvrđava Crvena stijena (Velje brdo, iznad Tološa), dominira okružnim prostorom i predstavlja vrijedan kulturno-turistički resurs Glavnog grada.  U cilju boljeg prezentovanja istorije tvrđave, neophodna je izgradnja adekvatne staze koja vodi od podnožja Veljeg brda do pojasa kulturnog dobra Crvena stijena,  uz  arheološka istraživanja lokaliteta, te aktivnosti u cilju sanacije/rekonstrukcije tvrđave.</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Ciljevi: Izgrađena adekvatna staza do zone kulturnog dobra Crvena stijena, sprovedena arheološka istraživanja na lokalitetu, izvedeni radovi na sanaciji/reknstrukciji tvrđave.</w:t>
            </w:r>
          </w:p>
        </w:tc>
      </w:tr>
      <w:tr w:rsidR="00E944C2">
        <w:trPr>
          <w:cantSplit/>
          <w:trHeight w:val="83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Opis projekta:</w:t>
            </w:r>
            <w:r>
              <w:rPr>
                <w:rFonts w:ascii="Times New Roman" w:eastAsia="Times New Roman" w:hAnsi="Times New Roman" w:cs="Times New Roman"/>
                <w:sz w:val="24"/>
                <w:szCs w:val="24"/>
              </w:rPr>
              <w:t xml:space="preserve"> Ostaci tvrđave Crvena Stijena, Lužnica se nalaze na šestom kilometru južno uz put Podgorica-Mareza. Tvrđava je izgrađena na dominantnoj koti brda, koje se sa jugozapadne strane uzdiže iznad naselja Mareza. Tvrđava zahvata površinu cca 1540 m².</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Tvrđava je zapuštena, obrasla rastinjem i njeni arhitektonsko—konstruktivni elementi su skloni obrušavanju. Nikada nije sistematski istražena. Predstavlja atraktivan lokalitet i njenom valorizacijom bi se već započeti turistički zamah ostvario u punom potencijalu. Pretpostavlja se da tvrđava datira sa kraja perioda turske vladavine, a da su dodatni radovi na utvrđenju izvršeni tokom autrougarske okupacije, za vrijeme I svjetskog rata.</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kulturu</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Služba glavnog gradskog arhitekte, JU MUzeji i galerije, Ministarstvo kulture, Uprava za zaštitu kulturnih dobara, Turistička organizacija Podgorice</w:t>
            </w: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Parcela 4333/1 KO Tološi, na kojoj je planirana izgradnja pristupne staze i parcela 4325, KO Tološi, na kojoj se nalazi tvrđava Crvena stijena, u vlasništvu su Glavnog grada Podgorice.</w:t>
            </w: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Služba Glavnog gradskog arhitekte pripremala je projekat staze od podnožja Veljeg brda do oboda kulturnog dobra Crvena stijena, za potrebe apliciranja Glavnog grada  u okviru projektnog prijedloga EXPLORE za sredstva u cilju izgradnje pristupne staze od podnožja Veljeg brda do pojasa kulturnog dobra, a na poziv koji je dio Interrega Hrvatska, Bosna i Hercegovina i Crna Gora, pa zahvaljujući Službi glavnog gradskog arhitekte već postoji dio dokumentacije neophodan za izgradnju staze.</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50"/>
          <w:tblHeader/>
        </w:trPr>
        <w:tc>
          <w:tcPr>
            <w:tcW w:w="342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Ministarstvo kulture</w:t>
            </w:r>
          </w:p>
          <w:p w:rsidR="00E944C2" w:rsidRDefault="00E944C2" w:rsidP="00316155">
            <w:pPr>
              <w:pStyle w:val="Normal1"/>
              <w:spacing w:before="240" w:after="240" w:line="276" w:lineRule="auto"/>
              <w:jc w:val="both"/>
              <w:rPr>
                <w:rFonts w:ascii="Times New Roman" w:eastAsia="Times New Roman" w:hAnsi="Times New Roman" w:cs="Times New Roman"/>
                <w:sz w:val="24"/>
                <w:szCs w:val="24"/>
              </w:rPr>
            </w:pP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Trenutno ne raspolažemo procjenom o iznosu troškova za izgradnju staze do tvrđave Crvena stijena. Za sprovođenje arheoloških istraživanja na tvrđavi neophodan je iznos od cca 20.000 eura. Trenutno nije moguće procijeniti iznos sredstava za sanaciju/rekonstrukciju tvrđave.</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color w:val="FF0000"/>
                <w:sz w:val="24"/>
                <w:szCs w:val="24"/>
              </w:rPr>
            </w:pP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color w:val="FF0000"/>
                <w:sz w:val="24"/>
                <w:szCs w:val="24"/>
              </w:rPr>
            </w:pPr>
          </w:p>
        </w:tc>
        <w:tc>
          <w:tcPr>
            <w:tcW w:w="183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53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205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4935"/>
          <w:tblHeader/>
        </w:trPr>
        <w:tc>
          <w:tcPr>
            <w:tcW w:w="342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183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153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staze do kulturnog dobra tvrđava Crvena stijena</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20.000 eura za arheološka istraživanja tvrđave Crvena stijena</w:t>
            </w:r>
          </w:p>
        </w:tc>
        <w:tc>
          <w:tcPr>
            <w:tcW w:w="205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konzervatorskog projekta i radovi na sanciji / rekonstrukciji tvrđave</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855"/>
          <w:tblHeader/>
        </w:trPr>
        <w:tc>
          <w:tcPr>
            <w:tcW w:w="342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83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53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205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2805"/>
          <w:tblHeader/>
        </w:trPr>
        <w:tc>
          <w:tcPr>
            <w:tcW w:w="342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Izgradnja staze do kulturnog dobra tvrđava Crvena stijena </w:t>
            </w:r>
          </w:p>
        </w:tc>
        <w:tc>
          <w:tcPr>
            <w:tcW w:w="18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kulturu/Služba glavnog gradskog arhitekte,</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Agencija za izgradnju i razvoj Podgorice  </w:t>
            </w:r>
          </w:p>
        </w:tc>
        <w:tc>
          <w:tcPr>
            <w:tcW w:w="15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april/maj 2026</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kraj 2026.</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1155"/>
          <w:tblHeader/>
        </w:trPr>
        <w:tc>
          <w:tcPr>
            <w:tcW w:w="342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Arheološka istraživanja tvrđave Crvena stijena</w:t>
            </w:r>
          </w:p>
        </w:tc>
        <w:tc>
          <w:tcPr>
            <w:tcW w:w="18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 Muzeji i galerije / Centar za konzervaciju i arheologiju /</w:t>
            </w:r>
          </w:p>
        </w:tc>
        <w:tc>
          <w:tcPr>
            <w:tcW w:w="15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druga polovina 2026.</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kraj 2026.</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870"/>
          <w:tblHeader/>
        </w:trPr>
        <w:tc>
          <w:tcPr>
            <w:tcW w:w="342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Izrada konzervatorskog projekta tvrđave Crvena stijena</w:t>
            </w:r>
          </w:p>
        </w:tc>
        <w:tc>
          <w:tcPr>
            <w:tcW w:w="18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w:t>
            </w:r>
          </w:p>
        </w:tc>
        <w:tc>
          <w:tcPr>
            <w:tcW w:w="15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Prva polovina 2026.</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oktobar 2026.</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585"/>
          <w:tblHeader/>
        </w:trPr>
        <w:tc>
          <w:tcPr>
            <w:tcW w:w="342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Sanacija / rekonstrukcija tvrđave</w:t>
            </w:r>
          </w:p>
        </w:tc>
        <w:tc>
          <w:tcPr>
            <w:tcW w:w="18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kulturu</w:t>
            </w:r>
          </w:p>
        </w:tc>
        <w:tc>
          <w:tcPr>
            <w:tcW w:w="153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april/maj 2027.</w:t>
            </w:r>
          </w:p>
        </w:tc>
        <w:tc>
          <w:tcPr>
            <w:tcW w:w="20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kraj 2028</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81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color w:val="FF0000"/>
                <w:sz w:val="24"/>
                <w:szCs w:val="24"/>
              </w:rPr>
            </w:pPr>
          </w:p>
        </w:tc>
      </w:tr>
    </w:tbl>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bl>
      <w:tblPr>
        <w:tblStyle w:val="11"/>
        <w:tblW w:w="8880" w:type="dxa"/>
        <w:tblInd w:w="20" w:type="dxa"/>
        <w:tblLayout w:type="fixed"/>
        <w:tblLook w:val="04A0"/>
      </w:tblPr>
      <w:tblGrid>
        <w:gridCol w:w="8880"/>
      </w:tblGrid>
      <w:tr w:rsidR="00E944C2">
        <w:trPr>
          <w:cantSplit/>
          <w:trHeight w:val="855"/>
          <w:tblHeader/>
        </w:trPr>
        <w:tc>
          <w:tcPr>
            <w:tcW w:w="8880" w:type="dxa"/>
            <w:tcBorders>
              <w:top w:val="nil"/>
              <w:left w:val="single" w:sz="6" w:space="0" w:color="BFBFBF"/>
              <w:bottom w:val="nil"/>
              <w:right w:val="single" w:sz="6" w:space="0" w:color="BFBFBF"/>
            </w:tcBorders>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42 -IMPLEMENTACIJA KONCEPTA ZELENIH KROVOVA NA ZGRADAMA GLAVNOG GRADA</w:t>
            </w:r>
          </w:p>
        </w:tc>
      </w:tr>
      <w:tr w:rsidR="00E944C2">
        <w:trPr>
          <w:cantSplit/>
          <w:trHeight w:val="5085"/>
          <w:tblHeader/>
        </w:trPr>
        <w:tc>
          <w:tcPr>
            <w:tcW w:w="8880"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color w:val="FF0000"/>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 xml:space="preserve">Osnovni cilj projekta je ublažavanje negativnih efekata klimatskih promjena, podizanjem zelenila  na krovnim površinama izgrađenih objekata.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projekta su postavljeni zeleni krovovi na tri zgrade, u svojini  ili korišćenju Glavnog grada.</w:t>
            </w:r>
          </w:p>
          <w:p w:rsidR="00E944C2" w:rsidRDefault="00F7666C" w:rsidP="00E36C81">
            <w:pPr>
              <w:pStyle w:val="Normal1"/>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Implementacijom zelenih krovova, pored povećanog stepena ozelenjenosti, doprinosi se redukciji efekata toplotnih ostrva, unapređenju energetskih karakteristika zgrada odnosno smanjenju troškova električne energije, poboljšanju estetskog efekta kao i očuvanju urbanog biodiverziteta.</w:t>
            </w:r>
          </w:p>
        </w:tc>
      </w:tr>
      <w:tr w:rsidR="00E944C2">
        <w:trPr>
          <w:cantSplit/>
          <w:trHeight w:val="8430"/>
          <w:tblHeader/>
        </w:trPr>
        <w:tc>
          <w:tcPr>
            <w:tcW w:w="8880"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Do sada realizovane analize ekstremnih vremenskih događaja ukazuju da je Podgorica ranjiv urbani sistem u kontekstu klimatskih</w:t>
            </w:r>
            <w:r w:rsidR="003E254D">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 xml:space="preserve">promjena. Jedna od efikasnih mjera za ublažavanje uticaja klimatskih promjena prepoznata u relevantnim dokumentima su zeleni krovovi u urbanom području Podgorice, koncept koji u našem gradu još uvijek nije sveobuhvatno implementiran. Studija predizvodljivosti, izrađena uz podršku obezbjeđenu kroz međunarodni City Gap Fond, analizirala je primjenjivost navedenog koncepta na zgradama Glavnog grada i dala smjernice za postavljanje zelenih krovova na zgradi KIC-a „Budo Tomović“, zgradi Službe zaštite i spašavanja i zgradi gradskog Parlamenta. Imajući u vidu prirodu predmetnih aktivnosti, sprovođenje zakonskih procedura, obezbjeđivanje finansijskih sredstava i sl., procjenjeni period realizacije je tri do četiri godine. </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Sekretarijat za planiranje prostora i održivi razvoj</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Služba gradskog arhitekte, Služba zaštite i spašavanja, KIC Budo Tomović, Služba skupštine, Agencija za stanovanje, Zelenilo d.o.o.</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Zgrade su u vlasništvu i korišćenju Glavnog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Osnovu za implementaciju predmetnog projekta predstavlja studija predizvodljivosti koja je dala smjernice za postavljanje zelenih krovova  na pomenutim zgradama</w:t>
            </w:r>
          </w:p>
        </w:tc>
      </w:tr>
    </w:tbl>
    <w:p w:rsidR="006A0398" w:rsidRDefault="006A0398"/>
    <w:tbl>
      <w:tblPr>
        <w:tblStyle w:val="11"/>
        <w:tblW w:w="8880" w:type="dxa"/>
        <w:tblInd w:w="20" w:type="dxa"/>
        <w:tblLayout w:type="fixed"/>
        <w:tblLook w:val="04A0"/>
      </w:tblPr>
      <w:tblGrid>
        <w:gridCol w:w="3339"/>
        <w:gridCol w:w="2303"/>
        <w:gridCol w:w="1740"/>
        <w:gridCol w:w="1438"/>
        <w:gridCol w:w="60"/>
      </w:tblGrid>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6A0398">
        <w:trPr>
          <w:cantSplit/>
          <w:trHeight w:val="765"/>
          <w:tblHeader/>
        </w:trPr>
        <w:tc>
          <w:tcPr>
            <w:tcW w:w="3339"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Studijom predizvodljivosti kao iznos potreban za instalaciju zelenih krovova definisano je približno 137.000,00 eura.</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 obzirom na očekivane promjene finansijskog okvira (studija je finalizovana 2023. godine), te potrebu izrade projektne dokumentacije na osnovu definisanih smjernica, ukupan procjenjeni iznos je 200.000,00 eura.</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Sredstva će biti obezbjeđena iz budžeta Glavnog grada, a po mogućnosti (u zavisnosti od dinamike i prirode poziva za apliciranje prema EU i ostalim međunarodnim fondovima) i iz ostalih izvora.</w:t>
            </w:r>
          </w:p>
        </w:tc>
        <w:tc>
          <w:tcPr>
            <w:tcW w:w="230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74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43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2028.</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6A0398">
        <w:trPr>
          <w:cantSplit/>
          <w:trHeight w:val="6150"/>
          <w:tblHeader/>
        </w:trPr>
        <w:tc>
          <w:tcPr>
            <w:tcW w:w="3339"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c>
          <w:tcPr>
            <w:tcW w:w="230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ukupnog budžeta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74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 ukupnog budžeta</w:t>
            </w:r>
          </w:p>
        </w:tc>
        <w:tc>
          <w:tcPr>
            <w:tcW w:w="143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35% ukupnog budžeta</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bl>
    <w:p w:rsidR="002F3E03" w:rsidRDefault="002F3E03"/>
    <w:tbl>
      <w:tblPr>
        <w:tblStyle w:val="11"/>
        <w:tblW w:w="8880" w:type="dxa"/>
        <w:tblInd w:w="20" w:type="dxa"/>
        <w:tblLayout w:type="fixed"/>
        <w:tblLook w:val="04A0"/>
      </w:tblPr>
      <w:tblGrid>
        <w:gridCol w:w="3339"/>
        <w:gridCol w:w="2845"/>
        <w:gridCol w:w="1198"/>
        <w:gridCol w:w="1438"/>
        <w:gridCol w:w="60"/>
      </w:tblGrid>
      <w:tr w:rsidR="00E944C2" w:rsidTr="00316155">
        <w:trPr>
          <w:cantSplit/>
          <w:trHeight w:val="855"/>
          <w:tblHeader/>
        </w:trPr>
        <w:tc>
          <w:tcPr>
            <w:tcW w:w="3339"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84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198"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43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16155">
        <w:trPr>
          <w:cantSplit/>
          <w:trHeight w:val="870"/>
          <w:tblHeader/>
        </w:trPr>
        <w:tc>
          <w:tcPr>
            <w:tcW w:w="333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Priprema projektne dokumentacije</w:t>
            </w:r>
          </w:p>
        </w:tc>
        <w:tc>
          <w:tcPr>
            <w:tcW w:w="28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 Sekretarijata za planiranje prostora i održivi razvoj</w:t>
            </w:r>
          </w:p>
        </w:tc>
        <w:tc>
          <w:tcPr>
            <w:tcW w:w="11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 godina</w:t>
            </w:r>
          </w:p>
        </w:tc>
        <w:tc>
          <w:tcPr>
            <w:tcW w:w="143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 godina</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16155">
        <w:trPr>
          <w:cantSplit/>
          <w:trHeight w:val="870"/>
          <w:tblHeader/>
        </w:trPr>
        <w:tc>
          <w:tcPr>
            <w:tcW w:w="333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Pribavljanje potrebnih dozvola/saglasnosti</w:t>
            </w:r>
          </w:p>
        </w:tc>
        <w:tc>
          <w:tcPr>
            <w:tcW w:w="28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 Sekretarijata za planiranje prostora i održivi razvoj</w:t>
            </w:r>
          </w:p>
        </w:tc>
        <w:tc>
          <w:tcPr>
            <w:tcW w:w="11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 godina</w:t>
            </w:r>
          </w:p>
        </w:tc>
        <w:tc>
          <w:tcPr>
            <w:tcW w:w="143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2026. godina</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16155">
        <w:trPr>
          <w:cantSplit/>
          <w:trHeight w:val="1155"/>
          <w:tblHeader/>
        </w:trPr>
        <w:tc>
          <w:tcPr>
            <w:tcW w:w="333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Raspisivanje tendera za izbor izvođača koji će izvršiti implementaciju zelenih krovova</w:t>
            </w:r>
          </w:p>
        </w:tc>
        <w:tc>
          <w:tcPr>
            <w:tcW w:w="28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 Sekretarijata za planiranje prostora i održivi razvoj u saradnji sa Službom za javne nabavke</w:t>
            </w:r>
          </w:p>
        </w:tc>
        <w:tc>
          <w:tcPr>
            <w:tcW w:w="11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 godina</w:t>
            </w:r>
          </w:p>
        </w:tc>
        <w:tc>
          <w:tcPr>
            <w:tcW w:w="143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2027. godina</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rsidTr="00316155">
        <w:trPr>
          <w:cantSplit/>
          <w:trHeight w:val="2565"/>
          <w:tblHeader/>
        </w:trPr>
        <w:tc>
          <w:tcPr>
            <w:tcW w:w="333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zelenih krovova</w:t>
            </w:r>
          </w:p>
        </w:tc>
        <w:tc>
          <w:tcPr>
            <w:tcW w:w="28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 Sekretarijata za planiranje prostora i održivi razvoj u saradnji sa predstavnicima KIC-a „Budo Tomović“, Službe zaštite i spašavanja, Službe skupštine, Agencije za stanovanje i Zelenila d.o.o.</w:t>
            </w:r>
          </w:p>
        </w:tc>
        <w:tc>
          <w:tcPr>
            <w:tcW w:w="119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2028. godina</w:t>
            </w:r>
          </w:p>
        </w:tc>
        <w:tc>
          <w:tcPr>
            <w:tcW w:w="143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2028/2029. godina</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tc>
      </w:tr>
      <w:tr w:rsidR="00E944C2">
        <w:trPr>
          <w:cantSplit/>
          <w:trHeight w:val="138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Imajući u vidu da se navedeni koncept po prvi put realizuje u Podgorici, dinamika realizacije je data okvirno, s obzirom na to da ne postoji uporedni primjer kako bi se preciznije definisali rokovi.</w:t>
            </w:r>
          </w:p>
        </w:tc>
      </w:tr>
    </w:tbl>
    <w:p w:rsidR="00E944C2" w:rsidRDefault="00E944C2" w:rsidP="00316155">
      <w:pPr>
        <w:pStyle w:val="Normal1"/>
        <w:spacing w:before="240" w:after="240" w:line="276" w:lineRule="auto"/>
        <w:jc w:val="both"/>
        <w:rPr>
          <w:rFonts w:ascii="Times New Roman" w:eastAsia="Times New Roman" w:hAnsi="Times New Roman" w:cs="Times New Roman"/>
          <w:color w:val="FF0000"/>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jc w:val="both"/>
      </w:pPr>
    </w:p>
    <w:tbl>
      <w:tblPr>
        <w:tblStyle w:val="10"/>
        <w:tblW w:w="8865" w:type="dxa"/>
        <w:tblInd w:w="20" w:type="dxa"/>
        <w:tblLayout w:type="fixed"/>
        <w:tblLook w:val="04A0"/>
      </w:tblPr>
      <w:tblGrid>
        <w:gridCol w:w="2995"/>
        <w:gridCol w:w="2156"/>
        <w:gridCol w:w="1782"/>
        <w:gridCol w:w="1872"/>
        <w:gridCol w:w="60"/>
      </w:tblGrid>
      <w:tr w:rsidR="00E944C2">
        <w:trPr>
          <w:cantSplit/>
          <w:trHeight w:val="570"/>
          <w:tblHeader/>
        </w:trPr>
        <w:tc>
          <w:tcPr>
            <w:tcW w:w="886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w:t>
            </w:r>
          </w:p>
        </w:tc>
      </w:tr>
      <w:tr w:rsidR="00E944C2">
        <w:trPr>
          <w:cantSplit/>
          <w:trHeight w:val="85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43- IZGRADNJA ZELENOG KORIDORA “GREEN CITY PULS”</w:t>
            </w:r>
          </w:p>
        </w:tc>
      </w:tr>
      <w:tr w:rsidR="00E944C2">
        <w:trPr>
          <w:cantSplit/>
          <w:trHeight w:val="4365"/>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color w:val="FFFFFF"/>
                <w:sz w:val="24"/>
                <w:szCs w:val="24"/>
              </w:rPr>
              <w:t>Cilj projekta je provući zeleni liniju gradskim jezgrom i na taj način povezati pluća grada, parkovske površine i stvoriti nove sadržje koje bi ljudi koristili za sporti rekreaciju. Integracija urbanog mobilijara, umjetničkih instalacija i kreativnog dizajna u urbanom prostoru doprinosi etetskom doživljaju grada i promoviše kulturnu scenu. Projekti poput zelenih koridora mogu privući investicije i podići vrijednost nekretnina u okolnim područjima, podstičući tako ekonomski razvoj grada.</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unapređenje životne sredine, povećanje kvaliteta života građana, povećanje socijalne interakcije, povezanost različitih djelova grada, unapređenje pješačke i biciklističke infrastrukture, povećanje bezbjednosti, poboljšana energetska efikasnost  .</w:t>
            </w:r>
          </w:p>
        </w:tc>
      </w:tr>
      <w:tr w:rsidR="00E944C2">
        <w:trPr>
          <w:cantSplit/>
          <w:trHeight w:val="11640"/>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zelene linije planirana je po fazama: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 faza: od Tološke šume, duž Bul. Mihajla Lalića, kroz uređeni dio šume - park Đorđa Balaševića, ulicom Džordža Vašingtona, Bul. Sv. Petra Cetinjskog uz rijeku Moraču, uzvodno do Moskovskog mosta i Njegoševog parka;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 faza: od Njegoševog parka, uz rijeku Moraču do gimnazije Slobodan Škerović, dalje ulicama Vaka Đurovića, Beogradskom i Marka Miljanova, Bul. Sv. Petra Cetinjskog do Njegoševog parka i na taj način formira krug oko samog centra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III faza: od centra preko brda Gorica do parkšume Zlatica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IV faza: od centra grada do naselja Masline i dalje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 faza: od centra grada do naselja brda Ljubović</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VI faza: od centra grada do  Starog Aerodroma i dalje</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pomenutom zahvatu planirano je uvođenje novih pješačkih staza, mobilijara, oslikavanje pješačkih staza, ozelenjavanje prostora.</w:t>
            </w:r>
          </w:p>
          <w:p w:rsidR="00E944C2" w:rsidRDefault="00F7666C">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Služba glavnog gradskog arhitekte</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Gradska preduzeća</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Riješeni imovinsko-pravni odnosi</w:t>
            </w:r>
          </w:p>
          <w:p w:rsidR="00E944C2" w:rsidRDefault="00F7666C">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Trenutno se izvode radova na prvoj fazi.</w:t>
            </w: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300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16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78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87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70"/>
          <w:tblHeader/>
        </w:trPr>
        <w:tc>
          <w:tcPr>
            <w:tcW w:w="300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16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br/>
            </w:r>
            <w:r>
              <w:rPr>
                <w:rFonts w:ascii="Times New Roman" w:eastAsia="Times New Roman" w:hAnsi="Times New Roman" w:cs="Times New Roman"/>
                <w:sz w:val="24"/>
                <w:szCs w:val="24"/>
              </w:rPr>
              <w:t xml:space="preserve"> 400.000,00</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78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87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55"/>
          <w:tblHeader/>
        </w:trPr>
        <w:tc>
          <w:tcPr>
            <w:tcW w:w="300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16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78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87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750"/>
          <w:tblHeader/>
        </w:trPr>
        <w:tc>
          <w:tcPr>
            <w:tcW w:w="300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Izvođenje radova na prvoj fazi.</w:t>
            </w:r>
          </w:p>
        </w:tc>
        <w:tc>
          <w:tcPr>
            <w:tcW w:w="216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78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avgust 2025. god.</w:t>
            </w:r>
          </w:p>
        </w:tc>
        <w:tc>
          <w:tcPr>
            <w:tcW w:w="18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decemb</w:t>
            </w:r>
            <w:r w:rsidR="003E254D">
              <w:rPr>
                <w:rFonts w:ascii="Times New Roman" w:eastAsia="Times New Roman" w:hAnsi="Times New Roman" w:cs="Times New Roman"/>
                <w:sz w:val="24"/>
                <w:szCs w:val="24"/>
              </w:rPr>
              <w:t>a</w:t>
            </w:r>
            <w:r>
              <w:rPr>
                <w:rFonts w:ascii="Times New Roman" w:eastAsia="Times New Roman" w:hAnsi="Times New Roman" w:cs="Times New Roman"/>
                <w:sz w:val="24"/>
                <w:szCs w:val="24"/>
              </w:rPr>
              <w:t>r 2026. god</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9"/>
        <w:tblW w:w="8895" w:type="dxa"/>
        <w:tblInd w:w="20" w:type="dxa"/>
        <w:tblLayout w:type="fixed"/>
        <w:tblLook w:val="04A0"/>
      </w:tblPr>
      <w:tblGrid>
        <w:gridCol w:w="4222"/>
        <w:gridCol w:w="1842"/>
        <w:gridCol w:w="1453"/>
        <w:gridCol w:w="1318"/>
        <w:gridCol w:w="60"/>
      </w:tblGrid>
      <w:tr w:rsidR="00E944C2">
        <w:trPr>
          <w:cantSplit/>
          <w:trHeight w:val="855"/>
          <w:tblHeader/>
        </w:trPr>
        <w:tc>
          <w:tcPr>
            <w:tcW w:w="889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 44 - ZELENA AGENDA/ PLUĆA GRADA</w:t>
            </w:r>
          </w:p>
        </w:tc>
      </w:tr>
      <w:tr w:rsidR="00E944C2">
        <w:trPr>
          <w:cantSplit/>
          <w:trHeight w:val="408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color w:val="FFFFFF"/>
                <w:sz w:val="24"/>
                <w:szCs w:val="24"/>
              </w:rPr>
              <w:t>Cilj projekta je pošumljavanje prirodnih struktura unutar urbanih prostora grada i čuvanje postojećih šuma u Podgorici. Pošumljavanje se odnosi na Dajbabsku goru, Malo brdo, Ljubović, Goricu i Lješkopoljsku goricu.Primarni cilj projekta je obezbjeđivanje vizije transformacije predmetnih prostora u bujajuću prirodnu oazu, koja manifestuje težnju obnove prirode i ekološke harmonije u urbanom okruženju.</w:t>
            </w:r>
          </w:p>
          <w:p w:rsidR="00E944C2" w:rsidRDefault="00F7666C" w:rsidP="00E36C81">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Izlazni indikatori: očuvanje i unaprjeđenje ekosistema postupkom pošumljavanja, poboljšane ekološke funkcije i otpornost na klimatske uticaje, razvoj turizma, povećanje socijalne interakcije, povećanje kvaliteta života građana.</w:t>
            </w:r>
          </w:p>
        </w:tc>
      </w:tr>
      <w:tr w:rsidR="00E944C2">
        <w:trPr>
          <w:cantSplit/>
          <w:trHeight w:val="5265"/>
          <w:tblHeader/>
        </w:trPr>
        <w:tc>
          <w:tcPr>
            <w:tcW w:w="889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3"/>
                <w:szCs w:val="23"/>
              </w:rPr>
              <w:t>Predmetne lokacije definišu se kao park šume naglašene prirodne komponente koja transformiše prostor u bogat, dominantno šumski ekosistem koji se integriše sa okolinom i obogaćuje odgovarajućim sadržajima omogućavajući simbiozu prirode i čovjeka u urbanoj sredini</w:t>
            </w:r>
            <w:r>
              <w:rPr>
                <w:sz w:val="23"/>
                <w:szCs w:val="23"/>
              </w:rPr>
              <w:t>.</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Služba glavnog gradskog arhitekte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Agencija za izgradnju i razvoj Podgorice doo</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Riješeni imovinsko-pravni odnosi</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w:t>
            </w:r>
          </w:p>
        </w:tc>
      </w:tr>
      <w:tr w:rsidR="00E944C2">
        <w:trPr>
          <w:cantSplit/>
          <w:trHeight w:val="57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423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p>
        </w:tc>
        <w:tc>
          <w:tcPr>
            <w:tcW w:w="184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45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2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350"/>
          <w:tblHeader/>
        </w:trPr>
        <w:tc>
          <w:tcPr>
            <w:tcW w:w="423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184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E944C2" w:rsidP="00E36C81">
            <w:pPr>
              <w:pStyle w:val="Normal1"/>
              <w:spacing w:before="240" w:after="0" w:line="276" w:lineRule="auto"/>
              <w:jc w:val="both"/>
            </w:pPr>
          </w:p>
        </w:tc>
        <w:tc>
          <w:tcPr>
            <w:tcW w:w="145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2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55"/>
          <w:tblHeader/>
        </w:trPr>
        <w:tc>
          <w:tcPr>
            <w:tcW w:w="423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84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45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2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4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2115"/>
          <w:tblHeader/>
        </w:trPr>
        <w:tc>
          <w:tcPr>
            <w:tcW w:w="423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Sproveden je konkurs za idejno rješenje uređenja Park šume Lješkopoljska Gorica u Podgorici</w:t>
            </w:r>
          </w:p>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toku je priprema konkursa za idejno rješenje uređenja Park šume Dajbabska gora</w:t>
            </w:r>
          </w:p>
        </w:tc>
        <w:tc>
          <w:tcPr>
            <w:tcW w:w="184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5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32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4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jc w:val="both"/>
      </w:pPr>
    </w:p>
    <w:p w:rsidR="00E944C2" w:rsidRDefault="00E944C2" w:rsidP="00316155">
      <w:pPr>
        <w:pStyle w:val="Normal1"/>
        <w:jc w:val="both"/>
      </w:pPr>
    </w:p>
    <w:tbl>
      <w:tblPr>
        <w:tblStyle w:val="8"/>
        <w:tblW w:w="8865" w:type="dxa"/>
        <w:tblInd w:w="20" w:type="dxa"/>
        <w:tblLayout w:type="fixed"/>
        <w:tblLook w:val="04A0"/>
      </w:tblPr>
      <w:tblGrid>
        <w:gridCol w:w="2700"/>
        <w:gridCol w:w="2295"/>
        <w:gridCol w:w="1890"/>
        <w:gridCol w:w="1875"/>
        <w:gridCol w:w="105"/>
      </w:tblGrid>
      <w:tr w:rsidR="00E944C2">
        <w:trPr>
          <w:cantSplit/>
          <w:trHeight w:val="570"/>
          <w:tblHeader/>
        </w:trPr>
        <w:tc>
          <w:tcPr>
            <w:tcW w:w="886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w:t>
            </w:r>
          </w:p>
        </w:tc>
      </w:tr>
      <w:tr w:rsidR="00E944C2">
        <w:trPr>
          <w:cantSplit/>
          <w:trHeight w:val="85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45 </w:t>
            </w:r>
            <w:r>
              <w:rPr>
                <w:rFonts w:ascii="Times New Roman" w:eastAsia="Times New Roman" w:hAnsi="Times New Roman" w:cs="Times New Roman"/>
                <w:sz w:val="24"/>
                <w:szCs w:val="24"/>
              </w:rPr>
              <w:t>- IZGRADNJA STOČNOG GROBLJA</w:t>
            </w:r>
          </w:p>
        </w:tc>
      </w:tr>
      <w:tr w:rsidR="00E944C2">
        <w:trPr>
          <w:cantSplit/>
          <w:trHeight w:val="138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Cilj projekta je definisanje lokacije za izgradnju stočnog groblja kako bi se procedura odlaganja uginulih životinja obavljala po propisanim procedurama, u cilju sprečavanja epidemija</w:t>
            </w:r>
          </w:p>
        </w:tc>
      </w:tr>
      <w:tr w:rsidR="00E944C2">
        <w:trPr>
          <w:cantSplit/>
          <w:trHeight w:val="730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grad u ovom trenutku nema jasno defnisanu lokaciju za izgradnju stočnog groblja pa se ta problematika treba riješiti na način da se u prvoj fazi odredi lokacija, izradi idejno i tehnološko rješenje sa revidovanim glavnim projektom, a da se u periodu do 3 godine od usvajanja ovog strateškog plana izradi i pusti u funkciju. Broj uginulih životinja u ovom trenutku nije mjerljiv, jer ne postoji precizna evidencija, ali se pored domaćih životinja usled uginuća, treba odrediti i posebna lokacija za kućne ljubimce, kao i stočno groblje u slučaju epidemija, kako zakon i nalaže.</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„Čistoća“ d.o.o i Služba za podršku poljoprivredi i ruralnom razvoju</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Direkcija za imovinu,Sekretarijat za planiranje prostora i održivi razvoj</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 pravnih odnosa</w:t>
            </w:r>
            <w:r>
              <w:rPr>
                <w:rFonts w:ascii="Times New Roman" w:eastAsia="Times New Roman" w:hAnsi="Times New Roman" w:cs="Times New Roman"/>
                <w:sz w:val="24"/>
                <w:szCs w:val="24"/>
              </w:rPr>
              <w:t>: Riješeni imovinsko-pravni odnosi</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saradnji sa subjektima uključenim u implementaciju definisane su tri potencijalne lokacije na kojima bi se moglo izgraditi stočno groblje i za koje je ustanovljeno da se mogu staviti u funkciju</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270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150.000€ za tri stočna groblja, odnosno po 50.000€</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budžet</w:t>
            </w:r>
          </w:p>
        </w:tc>
        <w:tc>
          <w:tcPr>
            <w:tcW w:w="229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89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875"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2010"/>
          <w:tblHeader/>
        </w:trPr>
        <w:tc>
          <w:tcPr>
            <w:tcW w:w="270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29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890"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1875"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75.000€</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55"/>
          <w:tblHeader/>
        </w:trPr>
        <w:tc>
          <w:tcPr>
            <w:tcW w:w="270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29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89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875"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2160"/>
          <w:tblHeader/>
        </w:trPr>
        <w:tc>
          <w:tcPr>
            <w:tcW w:w="270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aktivnosti u koordinisanju procesa i terenskih obilazaka lokacija, kao i pravilnog i redovnog informisanja u slučaju pojave opasnosti od epidemija</w:t>
            </w:r>
          </w:p>
        </w:tc>
        <w:tc>
          <w:tcPr>
            <w:tcW w:w="22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za podršku poljoprivredi i ruralnom razvoju</w:t>
            </w:r>
          </w:p>
        </w:tc>
        <w:tc>
          <w:tcPr>
            <w:tcW w:w="18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8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750"/>
          <w:tblHeader/>
        </w:trPr>
        <w:tc>
          <w:tcPr>
            <w:tcW w:w="270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i puštanje u promet</w:t>
            </w:r>
          </w:p>
        </w:tc>
        <w:tc>
          <w:tcPr>
            <w:tcW w:w="22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„Čistoća“ d.o.o</w:t>
            </w:r>
          </w:p>
        </w:tc>
        <w:tc>
          <w:tcPr>
            <w:tcW w:w="18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8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590"/>
          <w:tblHeader/>
        </w:trPr>
        <w:tc>
          <w:tcPr>
            <w:tcW w:w="270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Praćenje mogućnosti pristupa i izvođenja radova na lokacijama i rješavanja imovinsko pravnih odnosa</w:t>
            </w:r>
          </w:p>
        </w:tc>
        <w:tc>
          <w:tcPr>
            <w:tcW w:w="22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w:t>
            </w:r>
          </w:p>
        </w:tc>
        <w:tc>
          <w:tcPr>
            <w:tcW w:w="18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8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305"/>
          <w:tblHeader/>
        </w:trPr>
        <w:tc>
          <w:tcPr>
            <w:tcW w:w="270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Tehnička pomoć u smislu definisanja potencijalnih slobodnih lokacija (mapa)</w:t>
            </w:r>
          </w:p>
        </w:tc>
        <w:tc>
          <w:tcPr>
            <w:tcW w:w="229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8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87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tc>
      </w:tr>
    </w:tbl>
    <w:p w:rsidR="00E944C2" w:rsidRDefault="00E944C2" w:rsidP="00316155">
      <w:pPr>
        <w:pStyle w:val="Normal1"/>
        <w:spacing w:before="240" w:after="240"/>
        <w:jc w:val="both"/>
        <w:rPr>
          <w:color w:val="FF0000"/>
        </w:rPr>
      </w:pPr>
    </w:p>
    <w:tbl>
      <w:tblPr>
        <w:tblStyle w:val="7"/>
        <w:tblW w:w="8880" w:type="dxa"/>
        <w:tblInd w:w="20" w:type="dxa"/>
        <w:tblLayout w:type="fixed"/>
        <w:tblLook w:val="04A0"/>
      </w:tblPr>
      <w:tblGrid>
        <w:gridCol w:w="4230"/>
        <w:gridCol w:w="2190"/>
        <w:gridCol w:w="1215"/>
        <w:gridCol w:w="1140"/>
        <w:gridCol w:w="105"/>
      </w:tblGrid>
      <w:tr w:rsidR="00E944C2">
        <w:trPr>
          <w:cantSplit/>
          <w:trHeight w:val="570"/>
          <w:tblHeader/>
        </w:trPr>
        <w:tc>
          <w:tcPr>
            <w:tcW w:w="8880"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w:t>
            </w:r>
          </w:p>
        </w:tc>
      </w:tr>
      <w:tr w:rsidR="00E944C2">
        <w:trPr>
          <w:cantSplit/>
          <w:trHeight w:val="855"/>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46 – </w:t>
            </w:r>
            <w:r>
              <w:rPr>
                <w:rFonts w:ascii="Times New Roman" w:eastAsia="Times New Roman" w:hAnsi="Times New Roman" w:cs="Times New Roman"/>
                <w:sz w:val="24"/>
                <w:szCs w:val="24"/>
              </w:rPr>
              <w:t>MOBILNE SPALIONICE</w:t>
            </w:r>
          </w:p>
        </w:tc>
      </w:tr>
      <w:tr w:rsidR="00E944C2">
        <w:trPr>
          <w:cantSplit/>
          <w:trHeight w:val="109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Pokretne (mobilne) spalionice imaju za cilj obezbjedjivanje spaljivanja uginulih životinja na lokacijama udaljenim od planiranog stočog groblja</w:t>
            </w:r>
          </w:p>
        </w:tc>
      </w:tr>
      <w:tr w:rsidR="00E944C2">
        <w:trPr>
          <w:cantSplit/>
          <w:trHeight w:val="5880"/>
          <w:tblHeader/>
        </w:trPr>
        <w:tc>
          <w:tcPr>
            <w:tcW w:w="8880"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Mobilne odnosno pokretne spalionice djelovale bi na teritoriji Glavnog grada prvenstveno na udaljenim lokacijama, koje bi osim planiranog stočnog groblja služile za pravovremeno spaljivanje uginulih životinja na više lokacija u cilju neophodnosti hitnog reagovanja i sprečavanja rizika od širenja zaraznih bolesti.</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„Čistoća“ d.o.o i Služba za podršku poljoprivredi i ruralnom razvoju</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Direkcija za imovinu i Sekretarijat za planiranje prostora i održivi razvoj</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 pravnih odnosa: </w:t>
            </w:r>
            <w:r>
              <w:rPr>
                <w:rFonts w:ascii="Times New Roman" w:eastAsia="Times New Roman" w:hAnsi="Times New Roman" w:cs="Times New Roman"/>
                <w:sz w:val="24"/>
                <w:szCs w:val="24"/>
              </w:rPr>
              <w:t>/</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w:t>
            </w:r>
          </w:p>
        </w:tc>
      </w:tr>
      <w:tr w:rsidR="00E944C2">
        <w:trPr>
          <w:cantSplit/>
          <w:trHeight w:val="570"/>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trPr>
          <w:cantSplit/>
          <w:trHeight w:val="435"/>
          <w:tblHeader/>
        </w:trPr>
        <w:tc>
          <w:tcPr>
            <w:tcW w:w="4230"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140.000€ za ukupnu investiciju</w:t>
            </w:r>
          </w:p>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i Kapitalni budžet </w:t>
            </w:r>
          </w:p>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tc>
        <w:tc>
          <w:tcPr>
            <w:tcW w:w="219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215"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140"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70"/>
          <w:tblHeader/>
        </w:trPr>
        <w:tc>
          <w:tcPr>
            <w:tcW w:w="4230"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190"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pPr>
            <w:r>
              <w:br/>
            </w:r>
            <w:r>
              <w:br/>
            </w:r>
            <w:r>
              <w:br/>
            </w:r>
          </w:p>
        </w:tc>
        <w:tc>
          <w:tcPr>
            <w:tcW w:w="1215"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70.000€</w:t>
            </w:r>
          </w:p>
        </w:tc>
        <w:tc>
          <w:tcPr>
            <w:tcW w:w="1140"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70.000€</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55"/>
          <w:tblHeader/>
        </w:trPr>
        <w:tc>
          <w:tcPr>
            <w:tcW w:w="4230"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190"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215"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140"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305"/>
          <w:tblHeader/>
        </w:trPr>
        <w:tc>
          <w:tcPr>
            <w:tcW w:w="423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aktivnosti u koordinisanju procesa i terenskih obilazaka lokacija, kao i pravilnog i redovnog informisanja u slučaju pojave opasnosti od epidemija</w:t>
            </w:r>
          </w:p>
        </w:tc>
        <w:tc>
          <w:tcPr>
            <w:tcW w:w="21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Služba za podršku poljoprivredi i ruralnom razvoju</w:t>
            </w:r>
          </w:p>
        </w:tc>
        <w:tc>
          <w:tcPr>
            <w:tcW w:w="121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4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570"/>
          <w:tblHeader/>
        </w:trPr>
        <w:tc>
          <w:tcPr>
            <w:tcW w:w="423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Izgradnja i puštanje u promet</w:t>
            </w:r>
          </w:p>
        </w:tc>
        <w:tc>
          <w:tcPr>
            <w:tcW w:w="21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„Čistoća“ d.o.o</w:t>
            </w:r>
          </w:p>
        </w:tc>
        <w:tc>
          <w:tcPr>
            <w:tcW w:w="121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14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05"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1590"/>
          <w:tblHeader/>
        </w:trPr>
        <w:tc>
          <w:tcPr>
            <w:tcW w:w="4230"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Praćenje mogućnosti izvođenja radova i definisanja lokacija na kojim bi spalionice mogle biti smještene i djelovati a da su riješeni imovinsko pravni odnosi</w:t>
            </w:r>
          </w:p>
        </w:tc>
        <w:tc>
          <w:tcPr>
            <w:tcW w:w="219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Direkcija za imovinu</w:t>
            </w:r>
          </w:p>
        </w:tc>
        <w:tc>
          <w:tcPr>
            <w:tcW w:w="1215"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40"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05"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335"/>
          <w:tblHeader/>
        </w:trPr>
        <w:tc>
          <w:tcPr>
            <w:tcW w:w="8880"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jc w:val="both"/>
      </w:pPr>
    </w:p>
    <w:tbl>
      <w:tblPr>
        <w:tblStyle w:val="6"/>
        <w:tblW w:w="9285" w:type="dxa"/>
        <w:tblInd w:w="20" w:type="dxa"/>
        <w:tblLayout w:type="fixed"/>
        <w:tblLook w:val="04A0"/>
      </w:tblPr>
      <w:tblGrid>
        <w:gridCol w:w="3459"/>
        <w:gridCol w:w="2609"/>
        <w:gridCol w:w="1779"/>
        <w:gridCol w:w="1378"/>
        <w:gridCol w:w="60"/>
      </w:tblGrid>
      <w:tr w:rsidR="00E944C2">
        <w:trPr>
          <w:cantSplit/>
          <w:trHeight w:val="570"/>
          <w:tblHeader/>
        </w:trPr>
        <w:tc>
          <w:tcPr>
            <w:tcW w:w="928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 </w:t>
            </w:r>
          </w:p>
        </w:tc>
      </w:tr>
      <w:tr w:rsidR="00E944C2">
        <w:trPr>
          <w:cantSplit/>
          <w:trHeight w:val="855"/>
          <w:tblHeader/>
        </w:trPr>
        <w:tc>
          <w:tcPr>
            <w:tcW w:w="928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47 - </w:t>
            </w:r>
            <w:r>
              <w:rPr>
                <w:rFonts w:ascii="Times New Roman" w:eastAsia="Times New Roman" w:hAnsi="Times New Roman" w:cs="Times New Roman"/>
                <w:sz w:val="24"/>
                <w:szCs w:val="24"/>
              </w:rPr>
              <w:t>OBNOVA TVRĐAVE RIBNICE</w:t>
            </w:r>
          </w:p>
        </w:tc>
      </w:tr>
      <w:tr w:rsidR="00E944C2">
        <w:trPr>
          <w:cantSplit/>
          <w:trHeight w:val="810"/>
          <w:tblHeader/>
        </w:trPr>
        <w:tc>
          <w:tcPr>
            <w:tcW w:w="928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Obnova kulturne baštine u cilju zaštite i turističke valorizacije</w:t>
            </w:r>
          </w:p>
        </w:tc>
      </w:tr>
      <w:tr w:rsidR="00E944C2">
        <w:trPr>
          <w:cantSplit/>
          <w:trHeight w:val="12660"/>
          <w:tblHeader/>
        </w:trPr>
        <w:tc>
          <w:tcPr>
            <w:tcW w:w="928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Opis projekta: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Graditeljsko nasljeđe jednog grada je njegova svojevrsna knjiga postojanja, s obzirom na to da Podgorica ima veliko kulturno-istorijsko nasljeđe, onda nije nimalo iznenađujuća činjenica da su u okolini grada sačuvani ostaci srednjovjekovnih građevina.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Većina tvrđava nije odoljela vremenu i svim previranjima i turbolencijama, slabije su očuvane i podsjećaju više na ruševine, fragmente jednog davnog vremena koje je iza nas. Ipak, jedno je sasvim sigurno, tvrđave Podgorice su važno i neizostavno svjedočanstvo o bitnoj i često turbolentnoj prošlosti našeg grada.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U periodu od septembra do decembra 2025. godine se u okviru projekta valorizacije kulturne baštine Turističke organizacije realizuju arheološki, konzervatorski, geološki, geodetski radovi u vrijednosti od 45 000 eura.</w:t>
            </w:r>
          </w:p>
          <w:p w:rsidR="00E944C2" w:rsidRDefault="00F7666C" w:rsidP="00E36C81">
            <w:pPr>
              <w:pStyle w:val="Normal1"/>
              <w:spacing w:before="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Vodeći partner/Nosilac projekta:Agencija za izgradnjuirazvoj Podgorice d.o.o.</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Subjekti uključeni u implementaciju: </w:t>
            </w:r>
            <w:r>
              <w:rPr>
                <w:rFonts w:ascii="Times New Roman" w:eastAsia="Times New Roman" w:hAnsi="Times New Roman" w:cs="Times New Roman"/>
                <w:sz w:val="24"/>
                <w:szCs w:val="24"/>
              </w:rPr>
              <w:t>Turisitička organizacija Podgorica, Uprava za zaštitu kulturnih dobara, Sekretarijat za planiranje prostora i održivi razvoj, muzeji i galerije Podgorice.</w:t>
            </w: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Status imovinsko-pravnih odnosa: </w:t>
            </w:r>
            <w:r>
              <w:rPr>
                <w:rFonts w:ascii="Times New Roman" w:eastAsia="Times New Roman" w:hAnsi="Times New Roman" w:cs="Times New Roman"/>
                <w:sz w:val="24"/>
                <w:szCs w:val="24"/>
              </w:rPr>
              <w:t>postoje neriješeni - imovinsko-pravni odnosi sa dva privatna lica</w:t>
            </w:r>
            <w:r>
              <w:rPr>
                <w:rFonts w:ascii="Times New Roman" w:eastAsia="Times New Roman" w:hAnsi="Times New Roman" w:cs="Times New Roman"/>
                <w:color w:val="FF0000"/>
                <w:sz w:val="24"/>
                <w:szCs w:val="24"/>
              </w:rPr>
              <w:t xml:space="preserve">/ </w:t>
            </w:r>
            <w:r>
              <w:rPr>
                <w:rFonts w:ascii="Times New Roman" w:eastAsia="Times New Roman" w:hAnsi="Times New Roman" w:cs="Times New Roman"/>
                <w:sz w:val="24"/>
                <w:szCs w:val="24"/>
              </w:rPr>
              <w:t>kod prvog lica na jednoj parceli potrebno je ukloniti ograde koje su privatni vlasnici stavili uz tvrdjavu, a kod drugog vlasnika potrebno je otkupiti parcelu na kojoj se nalazi kula tvrđave.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Pripremni radovi za izradu Konzervatorskog projekta biće realizovani u toku. 2026. Godine; potrebno je finalizovati konzervatorski projekat i uraditi reviziju projekta u vrijednosti cc 70 000 eura.</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F7666C" w:rsidP="00316155">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70"/>
          <w:tblHeader/>
        </w:trPr>
        <w:tc>
          <w:tcPr>
            <w:tcW w:w="928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AD30E8">
        <w:trPr>
          <w:cantSplit/>
          <w:trHeight w:val="435"/>
          <w:tblHeader/>
        </w:trPr>
        <w:tc>
          <w:tcPr>
            <w:tcW w:w="3459"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p>
        </w:tc>
        <w:tc>
          <w:tcPr>
            <w:tcW w:w="2609"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779"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7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70"/>
          <w:tblHeader/>
        </w:trPr>
        <w:tc>
          <w:tcPr>
            <w:tcW w:w="3459"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609"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pPr>
            <w:r>
              <w:br/>
            </w:r>
            <w:r>
              <w:br/>
            </w:r>
            <w:r>
              <w:br/>
            </w:r>
          </w:p>
        </w:tc>
        <w:tc>
          <w:tcPr>
            <w:tcW w:w="1779"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70 000</w:t>
            </w:r>
          </w:p>
        </w:tc>
        <w:tc>
          <w:tcPr>
            <w:tcW w:w="137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4 000 000</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55"/>
          <w:tblHeader/>
        </w:trPr>
        <w:tc>
          <w:tcPr>
            <w:tcW w:w="3459"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609"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Odgovornaosoba</w:t>
            </w:r>
          </w:p>
        </w:tc>
        <w:tc>
          <w:tcPr>
            <w:tcW w:w="1779"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7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70"/>
          <w:tblHeader/>
        </w:trPr>
        <w:tc>
          <w:tcPr>
            <w:tcW w:w="345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Sprovođenje aktivnosti u vezi izrade tehničke dokumentacije</w:t>
            </w:r>
          </w:p>
        </w:tc>
        <w:tc>
          <w:tcPr>
            <w:tcW w:w="2609"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TOP</w:t>
            </w:r>
          </w:p>
        </w:tc>
        <w:tc>
          <w:tcPr>
            <w:tcW w:w="1779"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Jul 2026. god.</w:t>
            </w:r>
          </w:p>
        </w:tc>
        <w:tc>
          <w:tcPr>
            <w:tcW w:w="137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85"/>
          <w:tblHeader/>
        </w:trPr>
        <w:tc>
          <w:tcPr>
            <w:tcW w:w="3459"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Izdavanje Građevinske dozvole</w:t>
            </w:r>
          </w:p>
        </w:tc>
        <w:tc>
          <w:tcPr>
            <w:tcW w:w="2609"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Sekretarijat za planiranje prostora i održivi razvoj</w:t>
            </w:r>
          </w:p>
        </w:tc>
        <w:tc>
          <w:tcPr>
            <w:tcW w:w="1779"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37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1335"/>
          <w:tblHeader/>
        </w:trPr>
        <w:tc>
          <w:tcPr>
            <w:tcW w:w="928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5"/>
        <w:tblW w:w="8865" w:type="dxa"/>
        <w:tblInd w:w="20" w:type="dxa"/>
        <w:tblLayout w:type="fixed"/>
        <w:tblLook w:val="04A0"/>
      </w:tblPr>
      <w:tblGrid>
        <w:gridCol w:w="8865"/>
      </w:tblGrid>
      <w:tr w:rsidR="00E944C2">
        <w:trPr>
          <w:cantSplit/>
          <w:trHeight w:val="855"/>
          <w:tblHeader/>
        </w:trPr>
        <w:tc>
          <w:tcPr>
            <w:tcW w:w="886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PROJEKAT BROJ  48 -</w:t>
            </w:r>
            <w:r>
              <w:rPr>
                <w:rFonts w:ascii="Times New Roman" w:eastAsia="Times New Roman" w:hAnsi="Times New Roman" w:cs="Times New Roman"/>
                <w:sz w:val="24"/>
                <w:szCs w:val="24"/>
              </w:rPr>
              <w:t>TURISTIČKA VALORIZACIJA DUKLJE KROZ PROJEKAT “CENTAR ZA POSJETIOCE DUKLJA”</w:t>
            </w:r>
          </w:p>
        </w:tc>
      </w:tr>
      <w:tr w:rsidR="00E944C2">
        <w:trPr>
          <w:cantSplit/>
          <w:trHeight w:val="1095"/>
          <w:tblHeader/>
        </w:trPr>
        <w:tc>
          <w:tcPr>
            <w:tcW w:w="8865"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Valorizacija najbitnijeg arheološkog lokaliteta u Crnoj Gori, unapređenje turističke ponude, očuvanje kulturne baštine, unapređenje sistema obrazovanja.</w:t>
            </w:r>
          </w:p>
        </w:tc>
      </w:tr>
      <w:tr w:rsidR="00E944C2">
        <w:trPr>
          <w:cantSplit/>
          <w:trHeight w:val="9210"/>
          <w:tblHeader/>
        </w:trPr>
        <w:tc>
          <w:tcPr>
            <w:tcW w:w="886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240"/>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 xml:space="preserve">Turistička organizacija Podgorice u kontinuitetu, godinama unazad, ukazuje na značaj valorizacije arheološkog lokaliteta Duklja, kao jednog od najznačajnijih u Crnoj Gori. </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Projekat “Centar za posjetioce Duklja” bi stvorio pretpostavke za dugoročan kontinuirani održivi razvoj lokaliteta. Kroz projekat bi se u  početnoj fazi izgradio centar za posjetioce gdje bi turisti mogli da vide bogatu arheološku građu koja je do sada iskopana, a prihode ostvarene od centra za posjetioce u narednim fazama park bi koristio za iskopavanje, konzervaciju i rekonstrukciju lokaliteta. (ovo je praksa  koju uz dodatnu finansijsku pomoć institiucija sprovode i arheloški parkovi u regionu).</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Agencija za izgradnju i razvoj Podgorice d.o.o.</w:t>
            </w:r>
          </w:p>
          <w:p w:rsidR="00E944C2" w:rsidRDefault="00F7666C" w:rsidP="00E36C81">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Subjekti uključeni u implementaciju: </w:t>
            </w:r>
            <w:r>
              <w:rPr>
                <w:rFonts w:ascii="Times New Roman" w:eastAsia="Times New Roman" w:hAnsi="Times New Roman" w:cs="Times New Roman"/>
                <w:sz w:val="24"/>
                <w:szCs w:val="24"/>
              </w:rPr>
              <w:t>Sekretarijat za planiranje prostora i održivi razvoj, Direkcija za imovinu/ Uprava za nekretnine, Turistička organizacija, Sekretarijat za kulturu, Muzeji i galerije Podgorice, Ministarstvo kulture i medija, Uprava za zaštitu kulturnih dobara.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Status imovinsko-pravnih odnosa</w:t>
            </w:r>
            <w:r>
              <w:rPr>
                <w:rFonts w:ascii="Times New Roman" w:eastAsia="Times New Roman" w:hAnsi="Times New Roman" w:cs="Times New Roman"/>
                <w:sz w:val="24"/>
                <w:szCs w:val="24"/>
              </w:rPr>
              <w:t>: Lokacija malo brdo, državna imovina.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Trenutni status: </w:t>
            </w:r>
            <w:r>
              <w:rPr>
                <w:rFonts w:ascii="Times New Roman" w:eastAsia="Times New Roman" w:hAnsi="Times New Roman" w:cs="Times New Roman"/>
                <w:sz w:val="24"/>
                <w:szCs w:val="24"/>
              </w:rPr>
              <w:t>U fazi ideje, trebalo bi biti upisan u PUP Podgorice, zatim  idejno rješenje, glavni projekat, revidovani projekat, u međuvremenu da se napravi put u dužini 1 kilometar.</w:t>
            </w:r>
          </w:p>
        </w:tc>
      </w:tr>
    </w:tbl>
    <w:p w:rsidR="00AD30E8" w:rsidRDefault="00AD30E8"/>
    <w:tbl>
      <w:tblPr>
        <w:tblStyle w:val="5"/>
        <w:tblW w:w="8865" w:type="dxa"/>
        <w:tblInd w:w="20" w:type="dxa"/>
        <w:tblLayout w:type="fixed"/>
        <w:tblLook w:val="04A0"/>
      </w:tblPr>
      <w:tblGrid>
        <w:gridCol w:w="4192"/>
        <w:gridCol w:w="2067"/>
        <w:gridCol w:w="1123"/>
        <w:gridCol w:w="1423"/>
        <w:gridCol w:w="60"/>
      </w:tblGrid>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AD30E8">
        <w:trPr>
          <w:cantSplit/>
          <w:trHeight w:val="435"/>
          <w:tblHeader/>
        </w:trPr>
        <w:tc>
          <w:tcPr>
            <w:tcW w:w="4192"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10.100.000€ </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Potrebno uvećati za iznos za rešavanje imovinsko - pravnih odnosa</w:t>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 i Kapitalni budžet</w:t>
            </w:r>
          </w:p>
        </w:tc>
        <w:tc>
          <w:tcPr>
            <w:tcW w:w="206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12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423"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1350"/>
          <w:tblHeader/>
        </w:trPr>
        <w:tc>
          <w:tcPr>
            <w:tcW w:w="4192"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067"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Stvaranje uslova</w:t>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12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100 000</w:t>
            </w:r>
          </w:p>
        </w:tc>
        <w:tc>
          <w:tcPr>
            <w:tcW w:w="1423"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10 000 000</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55"/>
          <w:tblHeader/>
        </w:trPr>
        <w:tc>
          <w:tcPr>
            <w:tcW w:w="4192"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067"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Odgovornaosoba</w:t>
            </w:r>
          </w:p>
        </w:tc>
        <w:tc>
          <w:tcPr>
            <w:tcW w:w="1123"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423"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70"/>
          <w:tblHeader/>
        </w:trPr>
        <w:tc>
          <w:tcPr>
            <w:tcW w:w="419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Idejni konkurs</w:t>
            </w:r>
          </w:p>
        </w:tc>
        <w:tc>
          <w:tcPr>
            <w:tcW w:w="206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70"/>
          <w:tblHeader/>
        </w:trPr>
        <w:tc>
          <w:tcPr>
            <w:tcW w:w="419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Glavni projekat</w:t>
            </w:r>
          </w:p>
        </w:tc>
        <w:tc>
          <w:tcPr>
            <w:tcW w:w="206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70"/>
          <w:tblHeader/>
        </w:trPr>
        <w:tc>
          <w:tcPr>
            <w:tcW w:w="419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Revidovani projekat</w:t>
            </w:r>
          </w:p>
        </w:tc>
        <w:tc>
          <w:tcPr>
            <w:tcW w:w="206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70"/>
          <w:tblHeader/>
        </w:trPr>
        <w:tc>
          <w:tcPr>
            <w:tcW w:w="419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Tender i  izgradnja</w:t>
            </w:r>
          </w:p>
        </w:tc>
        <w:tc>
          <w:tcPr>
            <w:tcW w:w="206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570"/>
          <w:tblHeader/>
        </w:trPr>
        <w:tc>
          <w:tcPr>
            <w:tcW w:w="419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2067"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1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2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Dodatne napomene:</w:t>
            </w:r>
          </w:p>
          <w:p w:rsidR="00E944C2" w:rsidRDefault="00E944C2" w:rsidP="00E36C81">
            <w:pPr>
              <w:pStyle w:val="Normal1"/>
              <w:spacing w:before="240" w:after="0" w:line="276" w:lineRule="auto"/>
              <w:jc w:val="both"/>
              <w:rPr>
                <w:rFonts w:ascii="Times New Roman" w:eastAsia="Times New Roman" w:hAnsi="Times New Roman" w:cs="Times New Roman"/>
                <w:sz w:val="24"/>
                <w:szCs w:val="24"/>
              </w:rPr>
            </w:pPr>
          </w:p>
        </w:tc>
      </w:tr>
    </w:tbl>
    <w:p w:rsidR="00E944C2" w:rsidRDefault="00E944C2" w:rsidP="00316155">
      <w:pPr>
        <w:pStyle w:val="Normal1"/>
        <w:spacing w:before="240" w:after="240"/>
        <w:jc w:val="both"/>
      </w:pPr>
    </w:p>
    <w:p w:rsidR="00E944C2" w:rsidRDefault="00E944C2" w:rsidP="00316155">
      <w:pPr>
        <w:pStyle w:val="Normal1"/>
        <w:spacing w:before="240" w:after="240"/>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tbl>
      <w:tblPr>
        <w:tblStyle w:val="4"/>
        <w:tblW w:w="8865" w:type="dxa"/>
        <w:tblInd w:w="20" w:type="dxa"/>
        <w:tblLayout w:type="fixed"/>
        <w:tblLook w:val="04A0"/>
      </w:tblPr>
      <w:tblGrid>
        <w:gridCol w:w="2995"/>
        <w:gridCol w:w="2156"/>
        <w:gridCol w:w="1782"/>
        <w:gridCol w:w="1872"/>
        <w:gridCol w:w="60"/>
      </w:tblGrid>
      <w:tr w:rsidR="00E944C2">
        <w:trPr>
          <w:cantSplit/>
          <w:trHeight w:val="570"/>
          <w:tblHeader/>
        </w:trPr>
        <w:tc>
          <w:tcPr>
            <w:tcW w:w="8865" w:type="dxa"/>
            <w:gridSpan w:val="5"/>
            <w:tcBorders>
              <w:top w:val="single" w:sz="6" w:space="0" w:color="BFBFBF"/>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SPECIFIČNI CILJ I – </w:t>
            </w:r>
            <w:r>
              <w:rPr>
                <w:rFonts w:ascii="Times New Roman" w:eastAsia="Times New Roman" w:hAnsi="Times New Roman" w:cs="Times New Roman"/>
                <w:sz w:val="24"/>
                <w:szCs w:val="24"/>
              </w:rPr>
              <w:t>Unapređenje efikasnosti i transparentnosti lokalne samouprave</w:t>
            </w:r>
          </w:p>
        </w:tc>
      </w:tr>
      <w:tr w:rsidR="00E944C2">
        <w:trPr>
          <w:cantSplit/>
          <w:trHeight w:val="855"/>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49  - </w:t>
            </w:r>
            <w:r>
              <w:rPr>
                <w:rFonts w:ascii="Times New Roman" w:eastAsia="Times New Roman" w:hAnsi="Times New Roman" w:cs="Times New Roman"/>
                <w:sz w:val="24"/>
                <w:szCs w:val="24"/>
              </w:rPr>
              <w:t>DIGITALIZACIJA LOKALNIH USLUGA (ePODGORICA)</w:t>
            </w:r>
          </w:p>
        </w:tc>
      </w:tr>
      <w:tr w:rsidR="00E944C2">
        <w:trPr>
          <w:cantSplit/>
          <w:trHeight w:val="4365"/>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KLJUČNI CILJ I IZLAZNI INDIKATORI:</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Digitalizacija usluga lokalne samouprave i gradskih preduzeća do 2030.</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sz w:val="24"/>
                <w:szCs w:val="24"/>
              </w:rPr>
              <w:t>Uspostavljanje jedinstvene korisničke platforme za građane.</w:t>
            </w:r>
          </w:p>
        </w:tc>
      </w:tr>
      <w:tr w:rsidR="00E944C2">
        <w:trPr>
          <w:cantSplit/>
          <w:trHeight w:val="13004"/>
          <w:tblHeader/>
        </w:trPr>
        <w:tc>
          <w:tcPr>
            <w:tcW w:w="8865" w:type="dxa"/>
            <w:gridSpan w:val="5"/>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Opis projekta</w:t>
            </w:r>
          </w:p>
          <w:p w:rsidR="00E944C2" w:rsidRDefault="00F7666C" w:rsidP="00E36C81">
            <w:pPr>
              <w:pStyle w:val="Normal1"/>
              <w:pBdr>
                <w:left w:val="none" w:sz="0" w:space="14" w:color="auto"/>
              </w:pBdr>
              <w:spacing w:before="240" w:after="240" w:line="276" w:lineRule="auto"/>
              <w:ind w:left="106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Faza projekta:</w:t>
            </w:r>
            <w:r>
              <w:rPr>
                <w:rFonts w:ascii="Times New Roman" w:eastAsia="Times New Roman" w:hAnsi="Times New Roman" w:cs="Times New Roman"/>
                <w:sz w:val="24"/>
                <w:szCs w:val="24"/>
              </w:rPr>
              <w:t xml:space="preserve"> Planiranje i definisanje tehničkih zahtjeva uz agilni razvoj novih usluga</w:t>
            </w:r>
          </w:p>
          <w:p w:rsidR="00E944C2" w:rsidRDefault="00F7666C" w:rsidP="00E36C81">
            <w:pPr>
              <w:pStyle w:val="Normal1"/>
              <w:pBdr>
                <w:left w:val="none" w:sz="0" w:space="14" w:color="auto"/>
              </w:pBdr>
              <w:spacing w:before="240" w:after="240" w:line="276" w:lineRule="auto"/>
              <w:ind w:left="106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 xml:space="preserve"> Služba za informacioni sistem Glavnog grada</w:t>
            </w:r>
          </w:p>
          <w:p w:rsidR="00E944C2" w:rsidRDefault="00F7666C" w:rsidP="00E36C81">
            <w:pPr>
              <w:pStyle w:val="Normal1"/>
              <w:pBdr>
                <w:left w:val="none" w:sz="0" w:space="14" w:color="auto"/>
              </w:pBdr>
              <w:spacing w:before="240" w:after="240" w:line="276" w:lineRule="auto"/>
              <w:ind w:left="1060" w:hanging="36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 xml:space="preserve"> Sekretarijati i službe Glavnog grada, Ministarstvo javne uprave, privatni IT partneri</w:t>
            </w:r>
          </w:p>
          <w:p w:rsidR="00E944C2" w:rsidRDefault="00F7666C" w:rsidP="00E36C81">
            <w:pPr>
              <w:pStyle w:val="Normal1"/>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Imovinsko-pravni status</w:t>
            </w:r>
          </w:p>
          <w:p w:rsidR="00E944C2" w:rsidRDefault="00F7666C" w:rsidP="00E36C81">
            <w:pPr>
              <w:pStyle w:val="Normal1"/>
              <w:pBdr>
                <w:left w:val="none" w:sz="0" w:space="14" w:color="auto"/>
              </w:pBdr>
              <w:spacing w:before="240" w:after="240" w:line="276" w:lineRule="auto"/>
              <w:ind w:left="1060" w:hanging="360"/>
              <w:jc w:val="both"/>
              <w:rPr>
                <w:rFonts w:ascii="Times New Roman" w:eastAsia="Times New Roman" w:hAnsi="Times New Roman" w:cs="Times New Roman"/>
                <w:b/>
                <w:sz w:val="24"/>
                <w:szCs w:val="24"/>
              </w:rPr>
            </w:pPr>
            <w:r>
              <w:rPr>
                <w:rFonts w:ascii="Times New Roman" w:eastAsia="Times New Roman" w:hAnsi="Times New Roman" w:cs="Times New Roman"/>
                <w:sz w:val="24"/>
                <w:szCs w:val="24"/>
              </w:rPr>
              <w:t>·Nije primjenjivo (softverski projekat)</w:t>
            </w:r>
          </w:p>
        </w:tc>
      </w:tr>
      <w:tr w:rsidR="00E944C2">
        <w:trPr>
          <w:cantSplit/>
          <w:trHeight w:val="57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AD30E8">
        <w:trPr>
          <w:cantSplit/>
          <w:trHeight w:val="435"/>
          <w:tblHeader/>
        </w:trPr>
        <w:tc>
          <w:tcPr>
            <w:tcW w:w="2995"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-Budžet Glavnog grada </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Ukupna procijenjena vrijednost projekta:</w:t>
            </w:r>
            <w:r>
              <w:rPr>
                <w:rFonts w:ascii="Times New Roman" w:eastAsia="Times New Roman" w:hAnsi="Times New Roman" w:cs="Times New Roman"/>
                <w:sz w:val="24"/>
                <w:szCs w:val="24"/>
              </w:rPr>
              <w:t>500.000 €</w:t>
            </w:r>
          </w:p>
          <w:p w:rsidR="00E944C2" w:rsidRDefault="00F7666C" w:rsidP="00316155">
            <w:pPr>
              <w:pStyle w:val="Normal1"/>
              <w:pBdr>
                <w:left w:val="none" w:sz="0" w:space="14" w:color="auto"/>
              </w:pBd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Izvori finansiranja:</w:t>
            </w:r>
            <w:r>
              <w:rPr>
                <w:rFonts w:ascii="Times New Roman" w:eastAsia="Times New Roman" w:hAnsi="Times New Roman" w:cs="Times New Roman"/>
                <w:sz w:val="24"/>
                <w:szCs w:val="24"/>
              </w:rPr>
              <w:t xml:space="preserve"> Budžet Glavnog grada, donatorski fondovi</w:t>
            </w:r>
          </w:p>
          <w:p w:rsidR="00E944C2" w:rsidRDefault="00F7666C" w:rsidP="00316155">
            <w:pPr>
              <w:pStyle w:val="Normal1"/>
              <w:pBdr>
                <w:left w:val="none" w:sz="0" w:space="14" w:color="auto"/>
              </w:pBdr>
              <w:shd w:val="clear" w:color="auto" w:fill="FFFFFF"/>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Projekcija po godinama:</w:t>
            </w:r>
          </w:p>
          <w:p w:rsidR="00E944C2" w:rsidRDefault="00F7666C" w:rsidP="00316155">
            <w:pPr>
              <w:pStyle w:val="Normal1"/>
              <w:pBdr>
                <w:left w:val="none" w:sz="0" w:space="14" w:color="auto"/>
              </w:pBdr>
              <w:shd w:val="clear" w:color="auto" w:fill="FFFFFF"/>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2025: 100.000 €</w:t>
            </w:r>
            <w:r>
              <w:rPr>
                <w:rFonts w:ascii="Times New Roman" w:eastAsia="Times New Roman" w:hAnsi="Times New Roman" w:cs="Times New Roman"/>
                <w:sz w:val="24"/>
                <w:szCs w:val="24"/>
              </w:rPr>
              <w:br/>
              <w:t>2026: 100.000 €</w:t>
            </w:r>
            <w:r>
              <w:rPr>
                <w:rFonts w:ascii="Times New Roman" w:eastAsia="Times New Roman" w:hAnsi="Times New Roman" w:cs="Times New Roman"/>
                <w:sz w:val="24"/>
                <w:szCs w:val="24"/>
              </w:rPr>
              <w:br/>
              <w:t>2027: 100.000 €</w:t>
            </w:r>
            <w:r>
              <w:rPr>
                <w:rFonts w:ascii="Times New Roman" w:eastAsia="Times New Roman" w:hAnsi="Times New Roman" w:cs="Times New Roman"/>
                <w:sz w:val="24"/>
                <w:szCs w:val="24"/>
              </w:rPr>
              <w:br/>
              <w:t>2028: 100.000 €</w:t>
            </w:r>
            <w:r>
              <w:rPr>
                <w:rFonts w:ascii="Times New Roman" w:eastAsia="Times New Roman" w:hAnsi="Times New Roman" w:cs="Times New Roman"/>
                <w:sz w:val="24"/>
                <w:szCs w:val="24"/>
              </w:rPr>
              <w:br/>
              <w:t>2029: 100.000 €</w:t>
            </w:r>
          </w:p>
          <w:p w:rsidR="00E944C2" w:rsidRDefault="00E944C2" w:rsidP="00316155">
            <w:pPr>
              <w:pStyle w:val="Normal1"/>
              <w:shd w:val="clear" w:color="auto" w:fill="FFFFFF"/>
              <w:spacing w:before="240" w:line="276" w:lineRule="auto"/>
              <w:jc w:val="both"/>
              <w:rPr>
                <w:rFonts w:ascii="Times New Roman" w:eastAsia="Times New Roman" w:hAnsi="Times New Roman" w:cs="Times New Roman"/>
                <w:sz w:val="24"/>
                <w:szCs w:val="24"/>
              </w:rPr>
            </w:pPr>
          </w:p>
        </w:tc>
        <w:tc>
          <w:tcPr>
            <w:tcW w:w="215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78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872"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70"/>
          <w:tblHeader/>
        </w:trPr>
        <w:tc>
          <w:tcPr>
            <w:tcW w:w="2995"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2156"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br/>
            </w:r>
            <w:r>
              <w:rPr>
                <w:rFonts w:ascii="Times New Roman" w:eastAsia="Times New Roman" w:hAnsi="Times New Roman" w:cs="Times New Roman"/>
                <w:sz w:val="24"/>
                <w:szCs w:val="24"/>
              </w:rPr>
              <w:br/>
            </w:r>
            <w:r>
              <w:rPr>
                <w:rFonts w:ascii="Times New Roman" w:eastAsia="Times New Roman" w:hAnsi="Times New Roman" w:cs="Times New Roman"/>
                <w:sz w:val="24"/>
                <w:szCs w:val="24"/>
              </w:rPr>
              <w:br/>
            </w:r>
          </w:p>
        </w:tc>
        <w:tc>
          <w:tcPr>
            <w:tcW w:w="1782"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872"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855"/>
          <w:tblHeader/>
        </w:trPr>
        <w:tc>
          <w:tcPr>
            <w:tcW w:w="2995"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2156"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782"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872"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AD30E8">
        <w:trPr>
          <w:cantSplit/>
          <w:trHeight w:val="750"/>
          <w:tblHeader/>
        </w:trPr>
        <w:tc>
          <w:tcPr>
            <w:tcW w:w="2995"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line="276" w:lineRule="auto"/>
              <w:jc w:val="both"/>
              <w:rPr>
                <w:rFonts w:ascii="Times New Roman" w:eastAsia="Times New Roman" w:hAnsi="Times New Roman" w:cs="Times New Roman"/>
                <w:sz w:val="24"/>
                <w:szCs w:val="24"/>
              </w:rPr>
            </w:pPr>
          </w:p>
        </w:tc>
        <w:tc>
          <w:tcPr>
            <w:tcW w:w="2156"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78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187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6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Dodatne napomene:</w:t>
            </w:r>
            <w:r>
              <w:rPr>
                <w:rFonts w:ascii="Times New Roman" w:eastAsia="Times New Roman" w:hAnsi="Times New Roman" w:cs="Times New Roman"/>
                <w:b/>
                <w:color w:val="FFFFFF"/>
                <w:sz w:val="24"/>
                <w:szCs w:val="24"/>
              </w:rPr>
              <w:br/>
            </w:r>
            <w:r>
              <w:rPr>
                <w:rFonts w:ascii="Times New Roman" w:eastAsia="Times New Roman" w:hAnsi="Times New Roman" w:cs="Times New Roman"/>
                <w:sz w:val="24"/>
                <w:szCs w:val="24"/>
              </w:rPr>
              <w:t>Izazovi u integraciji sa državnim registrima; potrebno obezbijediti pravni okvir za elektronsko potpisivanje i autentifikaciju.</w:t>
            </w:r>
          </w:p>
        </w:tc>
      </w:tr>
    </w:tbl>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3"/>
        <w:tblW w:w="8895" w:type="dxa"/>
        <w:tblInd w:w="20" w:type="dxa"/>
        <w:tblLayout w:type="fixed"/>
        <w:tblLook w:val="04A0"/>
      </w:tblPr>
      <w:tblGrid>
        <w:gridCol w:w="8895"/>
      </w:tblGrid>
      <w:tr w:rsidR="00E944C2">
        <w:trPr>
          <w:cantSplit/>
          <w:trHeight w:val="855"/>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50 - </w:t>
            </w:r>
            <w:r>
              <w:rPr>
                <w:rFonts w:ascii="Times New Roman" w:eastAsia="Times New Roman" w:hAnsi="Times New Roman" w:cs="Times New Roman"/>
                <w:sz w:val="24"/>
                <w:szCs w:val="24"/>
              </w:rPr>
              <w:t>SISTEM RANE DETEKCIJE POŽARA POMOĆU TERMALNIH KAMERA NA TERITORIJI GLAVNOG GRADA</w:t>
            </w:r>
          </w:p>
        </w:tc>
      </w:tr>
      <w:tr w:rsidR="00E944C2">
        <w:trPr>
          <w:cantSplit/>
          <w:trHeight w:val="4080"/>
          <w:tblHeader/>
        </w:trPr>
        <w:tc>
          <w:tcPr>
            <w:tcW w:w="8895"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316155">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Instalacija termalnih kamera na kritičnim tačkama (brda, šume, park-šume, deponije).</w:t>
            </w:r>
          </w:p>
          <w:p w:rsidR="00E944C2" w:rsidRDefault="00F7666C" w:rsidP="00316155">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Smanjenje prosječnog vremena detekcije požara.</w:t>
            </w:r>
          </w:p>
          <w:p w:rsidR="00E944C2" w:rsidRDefault="00F7666C" w:rsidP="00316155">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Integracija sistema sa Službom zaštite i spašavanja.</w:t>
            </w:r>
          </w:p>
        </w:tc>
      </w:tr>
      <w:tr w:rsidR="00E944C2">
        <w:trPr>
          <w:cantSplit/>
          <w:trHeight w:val="5265"/>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Unapređenje bezbjednosti građana i zaštite životne sredine od prirodnih nepogoda.</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Faza projekta:</w:t>
            </w:r>
            <w:r>
              <w:rPr>
                <w:rFonts w:ascii="Times New Roman" w:eastAsia="Times New Roman" w:hAnsi="Times New Roman" w:cs="Times New Roman"/>
                <w:sz w:val="24"/>
                <w:szCs w:val="24"/>
              </w:rPr>
              <w:t xml:space="preserve"> Planiranje, realizovan pilot projekat u toku 2024. godine.</w:t>
            </w:r>
          </w:p>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Služba za informacioni sistem, Služba zaštite i spašavanja Glavnog grada.</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Subjekti uključeni u implementaciju: </w:t>
            </w:r>
            <w:r>
              <w:rPr>
                <w:rFonts w:ascii="Times New Roman" w:eastAsia="Times New Roman" w:hAnsi="Times New Roman" w:cs="Times New Roman"/>
                <w:sz w:val="24"/>
                <w:szCs w:val="24"/>
              </w:rPr>
              <w:t>Služba zaštite i spašavanja, Komunalne usluge DOO, privatni subjekti.</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Imovinsko-pravni status: </w:t>
            </w:r>
            <w:r>
              <w:rPr>
                <w:rFonts w:ascii="Times New Roman" w:eastAsia="Times New Roman" w:hAnsi="Times New Roman" w:cs="Times New Roman"/>
                <w:sz w:val="24"/>
                <w:szCs w:val="24"/>
              </w:rPr>
              <w:t>Potrebno riješiti imovinsko-pravne odnose za lokacije stubova i objekata na kojima će biti instalirane kamere.</w:t>
            </w: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tc>
      </w:tr>
    </w:tbl>
    <w:p w:rsidR="00FD6B4D" w:rsidRDefault="00FD6B4D"/>
    <w:tbl>
      <w:tblPr>
        <w:tblStyle w:val="3"/>
        <w:tblW w:w="8895" w:type="dxa"/>
        <w:tblInd w:w="20" w:type="dxa"/>
        <w:tblLayout w:type="fixed"/>
        <w:tblLook w:val="04A0"/>
      </w:tblPr>
      <w:tblGrid>
        <w:gridCol w:w="4222"/>
        <w:gridCol w:w="1842"/>
        <w:gridCol w:w="1453"/>
        <w:gridCol w:w="1318"/>
        <w:gridCol w:w="60"/>
      </w:tblGrid>
      <w:tr w:rsidR="00E944C2">
        <w:trPr>
          <w:cantSplit/>
          <w:trHeight w:val="57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5"/>
          <w:tblHeader/>
        </w:trPr>
        <w:tc>
          <w:tcPr>
            <w:tcW w:w="4222"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 xml:space="preserve">Ukupna procijenjena vrijednost projekta: </w:t>
            </w:r>
            <w:r>
              <w:rPr>
                <w:rFonts w:ascii="Times New Roman" w:eastAsia="Times New Roman" w:hAnsi="Times New Roman" w:cs="Times New Roman"/>
                <w:sz w:val="24"/>
                <w:szCs w:val="24"/>
              </w:rPr>
              <w:t>200.000 €</w:t>
            </w:r>
            <w:r>
              <w:rPr>
                <w:rFonts w:ascii="Times New Roman" w:eastAsia="Times New Roman" w:hAnsi="Times New Roman" w:cs="Times New Roman"/>
                <w:sz w:val="24"/>
                <w:szCs w:val="24"/>
              </w:rPr>
              <w:br/>
            </w:r>
          </w:p>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Izvori finansiranja:</w:t>
            </w:r>
            <w:r>
              <w:rPr>
                <w:rFonts w:ascii="Times New Roman" w:eastAsia="Times New Roman" w:hAnsi="Times New Roman" w:cs="Times New Roman"/>
                <w:sz w:val="24"/>
                <w:szCs w:val="24"/>
              </w:rPr>
              <w:t xml:space="preserve"> Kapitalni budžet, Budžet Glavnog grada, EU fondovi (IPA – zaštita životne sredine), bilateralni donatori</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Projekcija po godinama:</w:t>
            </w:r>
            <w:r>
              <w:rPr>
                <w:rFonts w:ascii="Times New Roman" w:eastAsia="Times New Roman" w:hAnsi="Times New Roman" w:cs="Times New Roman"/>
                <w:b/>
                <w:sz w:val="24"/>
                <w:szCs w:val="24"/>
              </w:rPr>
              <w:br/>
            </w:r>
            <w:r>
              <w:rPr>
                <w:rFonts w:ascii="Times New Roman" w:eastAsia="Times New Roman" w:hAnsi="Times New Roman" w:cs="Times New Roman"/>
                <w:sz w:val="24"/>
                <w:szCs w:val="24"/>
              </w:rPr>
              <w:t>2026: 100.000 €</w:t>
            </w:r>
            <w:r>
              <w:rPr>
                <w:rFonts w:ascii="Times New Roman" w:eastAsia="Times New Roman" w:hAnsi="Times New Roman" w:cs="Times New Roman"/>
                <w:sz w:val="24"/>
                <w:szCs w:val="24"/>
              </w:rPr>
              <w:br/>
              <w:t>2027: 100.000 €</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tc>
        <w:tc>
          <w:tcPr>
            <w:tcW w:w="184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45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1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1350"/>
          <w:tblHeader/>
        </w:trPr>
        <w:tc>
          <w:tcPr>
            <w:tcW w:w="4222"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184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pPr>
            <w:r>
              <w:br/>
            </w:r>
            <w:r>
              <w:br/>
            </w:r>
            <w:r>
              <w:br/>
            </w:r>
          </w:p>
        </w:tc>
        <w:tc>
          <w:tcPr>
            <w:tcW w:w="14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1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855"/>
          <w:tblHeader/>
        </w:trPr>
        <w:tc>
          <w:tcPr>
            <w:tcW w:w="4222"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842"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453"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1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2115"/>
          <w:tblHeader/>
        </w:trPr>
        <w:tc>
          <w:tcPr>
            <w:tcW w:w="422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line="276" w:lineRule="auto"/>
              <w:jc w:val="both"/>
              <w:rPr>
                <w:rFonts w:ascii="Times New Roman" w:eastAsia="Times New Roman" w:hAnsi="Times New Roman" w:cs="Times New Roman"/>
                <w:sz w:val="24"/>
                <w:szCs w:val="24"/>
              </w:rPr>
            </w:pPr>
          </w:p>
        </w:tc>
        <w:tc>
          <w:tcPr>
            <w:tcW w:w="184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31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AD30E8">
            <w:pPr>
              <w:pStyle w:val="Normal1"/>
              <w:spacing w:before="240" w:after="0" w:line="276" w:lineRule="auto"/>
              <w:rPr>
                <w:rFonts w:ascii="Times New Roman" w:eastAsia="Times New Roman" w:hAnsi="Times New Roman" w:cs="Times New Roman"/>
                <w:sz w:val="24"/>
                <w:szCs w:val="24"/>
              </w:rPr>
            </w:pPr>
            <w:r>
              <w:rPr>
                <w:rFonts w:ascii="Times New Roman" w:eastAsia="Times New Roman" w:hAnsi="Times New Roman" w:cs="Times New Roman"/>
                <w:b/>
                <w:color w:val="FFFFFF"/>
                <w:sz w:val="24"/>
                <w:szCs w:val="24"/>
              </w:rPr>
              <w:t>Dodatne napomene:</w:t>
            </w:r>
            <w:r>
              <w:rPr>
                <w:rFonts w:ascii="Times New Roman" w:eastAsia="Times New Roman" w:hAnsi="Times New Roman" w:cs="Times New Roman"/>
                <w:b/>
                <w:color w:val="FFFFFF"/>
                <w:sz w:val="24"/>
                <w:szCs w:val="24"/>
              </w:rPr>
              <w:br/>
              <w:t>Potrebne dozvole za instalaciju kamera na pojedinim lokacijama (šumske parcele i državna imovina).</w:t>
            </w:r>
            <w:r>
              <w:rPr>
                <w:rFonts w:ascii="Times New Roman" w:eastAsia="Times New Roman" w:hAnsi="Times New Roman" w:cs="Times New Roman"/>
                <w:b/>
                <w:color w:val="FFFFFF"/>
                <w:sz w:val="24"/>
                <w:szCs w:val="24"/>
              </w:rPr>
              <w:br/>
              <w:t>Mogućnost integracije sa postojećim VMS sistemom Glavnog grada i nadogradnje na AI algoritme za automatsko prepoznavanje dima i vatre.</w:t>
            </w:r>
            <w:r>
              <w:rPr>
                <w:rFonts w:ascii="Times New Roman" w:eastAsia="Times New Roman" w:hAnsi="Times New Roman" w:cs="Times New Roman"/>
                <w:b/>
                <w:color w:val="FFFFFF"/>
                <w:sz w:val="24"/>
                <w:szCs w:val="24"/>
              </w:rPr>
              <w:br/>
              <w:t>Poseban značaj u kontekstu klimatskih promjena i porasta broja šumskih požara u ljetnjem periodu.</w:t>
            </w:r>
          </w:p>
        </w:tc>
      </w:tr>
    </w:tbl>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jc w:val="both"/>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bl>
      <w:tblPr>
        <w:tblStyle w:val="2"/>
        <w:tblW w:w="8895" w:type="dxa"/>
        <w:tblInd w:w="20" w:type="dxa"/>
        <w:tblLayout w:type="fixed"/>
        <w:tblLook w:val="04A0"/>
      </w:tblPr>
      <w:tblGrid>
        <w:gridCol w:w="8895"/>
      </w:tblGrid>
      <w:tr w:rsidR="00E944C2">
        <w:trPr>
          <w:cantSplit/>
          <w:trHeight w:val="855"/>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PROJEKAT BROJ 51 -  </w:t>
            </w:r>
            <w:r>
              <w:rPr>
                <w:rFonts w:ascii="Times New Roman" w:eastAsia="Times New Roman" w:hAnsi="Times New Roman" w:cs="Times New Roman"/>
                <w:sz w:val="24"/>
                <w:szCs w:val="24"/>
              </w:rPr>
              <w:t xml:space="preserve">USPOSTAVLJANJE SISTEMA KONTINUIRANOG PRAĆENJA AEROZAGAĐENJA OD IZDUVNIH GASOVA VOZILA I BUKE U GRADU </w:t>
            </w:r>
          </w:p>
        </w:tc>
      </w:tr>
      <w:tr w:rsidR="00E944C2">
        <w:trPr>
          <w:cantSplit/>
          <w:trHeight w:val="4080"/>
          <w:tblHeader/>
        </w:trPr>
        <w:tc>
          <w:tcPr>
            <w:tcW w:w="8895" w:type="dxa"/>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 xml:space="preserve">KLJUČNI CILJ I IZLAZNI INDIKATORI: </w:t>
            </w:r>
          </w:p>
          <w:p w:rsidR="00E944C2" w:rsidRDefault="00F7666C" w:rsidP="00E36C81">
            <w:pPr>
              <w:pStyle w:val="Normal1"/>
              <w:spacing w:before="240" w:after="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Instalacija senzora za kontinuirano praćenje zagađenja od PM čestica na glavnim saobraćajnicama u gradu pored pješačkih zona</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Instalacija senzora za praćenje nivoa buke na glavnim saobraćajnicama u gradu pored pješačkih zona</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Detekcija kritičnih mjesta po pitanju zagađenja i buke u gradu radi preusmjerevanja/stopiranja saobraćaja</w:t>
            </w:r>
          </w:p>
          <w:p w:rsidR="00E944C2" w:rsidRDefault="00E944C2" w:rsidP="00316155">
            <w:pPr>
              <w:pStyle w:val="Normal1"/>
              <w:spacing w:before="240" w:after="0" w:line="276" w:lineRule="auto"/>
              <w:jc w:val="both"/>
              <w:rPr>
                <w:rFonts w:ascii="Times New Roman" w:eastAsia="Times New Roman" w:hAnsi="Times New Roman" w:cs="Times New Roman"/>
                <w:color w:val="FFFFFF"/>
                <w:sz w:val="24"/>
                <w:szCs w:val="24"/>
              </w:rPr>
            </w:pPr>
          </w:p>
          <w:p w:rsidR="00E944C2" w:rsidRDefault="00E944C2" w:rsidP="00316155">
            <w:pPr>
              <w:pStyle w:val="Normal1"/>
              <w:spacing w:before="240" w:after="0" w:line="276" w:lineRule="auto"/>
              <w:jc w:val="both"/>
              <w:rPr>
                <w:rFonts w:ascii="Times New Roman" w:eastAsia="Times New Roman" w:hAnsi="Times New Roman" w:cs="Times New Roman"/>
                <w:sz w:val="24"/>
                <w:szCs w:val="24"/>
              </w:rPr>
            </w:pPr>
          </w:p>
        </w:tc>
      </w:tr>
      <w:tr w:rsidR="00E944C2">
        <w:trPr>
          <w:cantSplit/>
          <w:trHeight w:val="5265"/>
          <w:tblHeader/>
        </w:trPr>
        <w:tc>
          <w:tcPr>
            <w:tcW w:w="8895" w:type="dxa"/>
            <w:tcBorders>
              <w:top w:val="nil"/>
              <w:left w:val="single" w:sz="6" w:space="0" w:color="BFBFBF"/>
              <w:bottom w:val="nil"/>
              <w:right w:val="single" w:sz="6" w:space="0" w:color="BFBFBF"/>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Opis projekta: </w:t>
            </w:r>
            <w:r>
              <w:rPr>
                <w:rFonts w:ascii="Times New Roman" w:eastAsia="Times New Roman" w:hAnsi="Times New Roman" w:cs="Times New Roman"/>
                <w:sz w:val="24"/>
                <w:szCs w:val="24"/>
              </w:rPr>
              <w:t>Unapređenje kvaliteta života pješaka u glavnom gradu kao i stanovništva u objektima blizu saobraćajnica.</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Faza projekta:</w:t>
            </w:r>
            <w:r>
              <w:rPr>
                <w:rFonts w:ascii="Times New Roman" w:eastAsia="Times New Roman" w:hAnsi="Times New Roman" w:cs="Times New Roman"/>
                <w:sz w:val="24"/>
                <w:szCs w:val="24"/>
              </w:rPr>
              <w:t xml:space="preserve"> Planiranje, Izrada idejnog rešenja i testiranje tokom 2026. godine</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Vodeći partner/nosilac projekta:</w:t>
            </w:r>
            <w:r>
              <w:rPr>
                <w:rFonts w:ascii="Times New Roman" w:eastAsia="Times New Roman" w:hAnsi="Times New Roman" w:cs="Times New Roman"/>
                <w:sz w:val="24"/>
                <w:szCs w:val="24"/>
              </w:rPr>
              <w:t>Glavni grad</w:t>
            </w:r>
          </w:p>
          <w:p w:rsidR="00E944C2" w:rsidRDefault="00F7666C" w:rsidP="00E36C81">
            <w:pPr>
              <w:pStyle w:val="Normal1"/>
              <w:pBdr>
                <w:left w:val="none" w:sz="0" w:space="14" w:color="auto"/>
              </w:pBdr>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Subjekti uključeni u implementaciju:</w:t>
            </w:r>
            <w:r>
              <w:rPr>
                <w:rFonts w:ascii="Times New Roman" w:eastAsia="Times New Roman" w:hAnsi="Times New Roman" w:cs="Times New Roman"/>
                <w:sz w:val="24"/>
                <w:szCs w:val="24"/>
              </w:rPr>
              <w:t>Univerzitet Crne Gore – Mašinskji fakultet zajedno sa Glavnim gradom.</w:t>
            </w:r>
          </w:p>
          <w:p w:rsidR="00E944C2" w:rsidRDefault="00F7666C" w:rsidP="00E36C81">
            <w:pPr>
              <w:pStyle w:val="Normal1"/>
              <w:spacing w:before="240" w:after="240" w:line="276" w:lineRule="auto"/>
              <w:jc w:val="both"/>
              <w:rPr>
                <w:rFonts w:ascii="Times New Roman" w:eastAsia="Times New Roman" w:hAnsi="Times New Roman" w:cs="Times New Roman"/>
                <w:sz w:val="24"/>
                <w:szCs w:val="24"/>
              </w:rPr>
            </w:pPr>
            <w:r>
              <w:rPr>
                <w:rFonts w:ascii="Times New Roman" w:eastAsia="Times New Roman" w:hAnsi="Times New Roman" w:cs="Times New Roman"/>
                <w:b/>
                <w:sz w:val="24"/>
                <w:szCs w:val="24"/>
              </w:rPr>
              <w:t xml:space="preserve">Imovinsko-pravni status: </w:t>
            </w:r>
            <w:r>
              <w:rPr>
                <w:rFonts w:ascii="Times New Roman" w:eastAsia="Times New Roman" w:hAnsi="Times New Roman" w:cs="Times New Roman"/>
                <w:sz w:val="24"/>
                <w:szCs w:val="24"/>
              </w:rPr>
              <w:t>Potrebno riješiti imovinsko-pravne odnose za lokacije stubova i objekata na kojima će biti instalirani senzori za mjerenje I prikupljanje podataka</w:t>
            </w:r>
          </w:p>
          <w:p w:rsidR="00E944C2" w:rsidRDefault="00E944C2" w:rsidP="00E36C81">
            <w:pPr>
              <w:pStyle w:val="Normal1"/>
              <w:spacing w:before="240" w:after="240" w:line="276" w:lineRule="auto"/>
              <w:jc w:val="both"/>
              <w:rPr>
                <w:rFonts w:ascii="Times New Roman" w:eastAsia="Times New Roman" w:hAnsi="Times New Roman" w:cs="Times New Roman"/>
                <w:b/>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E944C2" w:rsidP="00E36C81">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p w:rsidR="00E944C2" w:rsidRDefault="00E944C2">
            <w:pPr>
              <w:pStyle w:val="Normal1"/>
              <w:spacing w:before="240" w:after="0" w:line="276" w:lineRule="auto"/>
              <w:jc w:val="both"/>
              <w:rPr>
                <w:rFonts w:ascii="Times New Roman" w:eastAsia="Times New Roman" w:hAnsi="Times New Roman" w:cs="Times New Roman"/>
                <w:b/>
                <w:sz w:val="24"/>
                <w:szCs w:val="24"/>
              </w:rPr>
            </w:pPr>
          </w:p>
        </w:tc>
      </w:tr>
    </w:tbl>
    <w:p w:rsidR="00FD6B4D" w:rsidRDefault="00FD6B4D"/>
    <w:tbl>
      <w:tblPr>
        <w:tblStyle w:val="2"/>
        <w:tblW w:w="8895" w:type="dxa"/>
        <w:tblInd w:w="20" w:type="dxa"/>
        <w:tblLayout w:type="fixed"/>
        <w:tblLook w:val="04A0"/>
      </w:tblPr>
      <w:tblGrid>
        <w:gridCol w:w="4222"/>
        <w:gridCol w:w="1842"/>
        <w:gridCol w:w="1453"/>
        <w:gridCol w:w="1318"/>
        <w:gridCol w:w="60"/>
      </w:tblGrid>
      <w:tr w:rsidR="00E944C2">
        <w:trPr>
          <w:cantSplit/>
          <w:trHeight w:val="57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BUDŽET I IZVOR FINANSIRANJA</w:t>
            </w:r>
          </w:p>
        </w:tc>
      </w:tr>
      <w:tr w:rsidR="00E944C2" w:rsidTr="00316155">
        <w:trPr>
          <w:cantSplit/>
          <w:trHeight w:val="435"/>
          <w:tblHeader/>
        </w:trPr>
        <w:tc>
          <w:tcPr>
            <w:tcW w:w="4222" w:type="dxa"/>
            <w:vMerge w:val="restart"/>
            <w:tcBorders>
              <w:top w:val="nil"/>
              <w:left w:val="single" w:sz="6" w:space="0" w:color="BFBFBF"/>
              <w:bottom w:val="nil"/>
              <w:right w:val="single" w:sz="6" w:space="0" w:color="000000"/>
            </w:tcBorders>
            <w:shd w:val="clear" w:color="auto" w:fill="auto"/>
            <w:tcMar>
              <w:top w:w="0" w:type="dxa"/>
              <w:left w:w="120" w:type="dxa"/>
              <w:bottom w:w="0" w:type="dxa"/>
              <w:right w:w="120" w:type="dxa"/>
            </w:tcMar>
          </w:tcPr>
          <w:p w:rsidR="00E944C2" w:rsidRDefault="00F7666C" w:rsidP="00316155">
            <w:pPr>
              <w:pStyle w:val="Normal1"/>
              <w:shd w:val="clear" w:color="auto" w:fill="FFFFFF"/>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-Budžet Glavnog grada</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 xml:space="preserve">Ukupna procijenjena vrijednost projekta: </w:t>
            </w:r>
            <w:r>
              <w:rPr>
                <w:rFonts w:ascii="Times New Roman" w:eastAsia="Times New Roman" w:hAnsi="Times New Roman" w:cs="Times New Roman"/>
                <w:sz w:val="24"/>
                <w:szCs w:val="24"/>
              </w:rPr>
              <w:t>300.000 €</w:t>
            </w:r>
          </w:p>
          <w:p w:rsidR="00E944C2" w:rsidRDefault="00F7666C" w:rsidP="00316155">
            <w:pPr>
              <w:pStyle w:val="Normal1"/>
              <w:pBdr>
                <w:left w:val="none" w:sz="0" w:space="14" w:color="auto"/>
              </w:pBdr>
              <w:shd w:val="clear" w:color="auto" w:fill="FFFFFF"/>
              <w:spacing w:before="240" w:after="24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Izvori finansiranja:</w:t>
            </w:r>
            <w:r>
              <w:rPr>
                <w:rFonts w:ascii="Times New Roman" w:eastAsia="Times New Roman" w:hAnsi="Times New Roman" w:cs="Times New Roman"/>
                <w:sz w:val="24"/>
                <w:szCs w:val="24"/>
              </w:rPr>
              <w:t xml:space="preserve"> Kapitalni budžet, Budžet Glavnog grada, EU fondovi (IPA – zaštita životne sredine), bilateralni donatori</w:t>
            </w:r>
            <w:r>
              <w:rPr>
                <w:rFonts w:ascii="Times New Roman" w:eastAsia="Times New Roman" w:hAnsi="Times New Roman" w:cs="Times New Roman"/>
                <w:sz w:val="24"/>
                <w:szCs w:val="24"/>
              </w:rPr>
              <w:br/>
            </w:r>
            <w:r>
              <w:rPr>
                <w:rFonts w:ascii="Times New Roman" w:eastAsia="Times New Roman" w:hAnsi="Times New Roman" w:cs="Times New Roman"/>
                <w:b/>
                <w:sz w:val="24"/>
                <w:szCs w:val="24"/>
              </w:rPr>
              <w:t>Projekcija po godinama:</w:t>
            </w:r>
          </w:p>
          <w:p w:rsidR="00E944C2" w:rsidRDefault="00F7666C" w:rsidP="00AD30E8">
            <w:pPr>
              <w:pStyle w:val="Normal1"/>
              <w:pBdr>
                <w:left w:val="none" w:sz="0" w:space="14" w:color="auto"/>
              </w:pBdr>
              <w:shd w:val="clear" w:color="auto" w:fill="FFFFFF"/>
              <w:spacing w:before="240" w:after="240" w:line="276"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2026: 150.000 €</w:t>
            </w:r>
            <w:r>
              <w:rPr>
                <w:rFonts w:ascii="Times New Roman" w:eastAsia="Times New Roman" w:hAnsi="Times New Roman" w:cs="Times New Roman"/>
                <w:sz w:val="24"/>
                <w:szCs w:val="24"/>
              </w:rPr>
              <w:br/>
              <w:t>2027: 150.000 €</w:t>
            </w: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b/>
                <w:sz w:val="24"/>
                <w:szCs w:val="24"/>
              </w:rPr>
            </w:pPr>
          </w:p>
          <w:p w:rsidR="00E944C2" w:rsidRDefault="00E944C2" w:rsidP="00316155">
            <w:pPr>
              <w:pStyle w:val="Normal1"/>
              <w:shd w:val="clear" w:color="auto" w:fill="FFFFFF"/>
              <w:spacing w:before="240" w:after="0" w:line="276" w:lineRule="auto"/>
              <w:jc w:val="both"/>
              <w:rPr>
                <w:rFonts w:ascii="Times New Roman" w:eastAsia="Times New Roman" w:hAnsi="Times New Roman" w:cs="Times New Roman"/>
                <w:sz w:val="24"/>
                <w:szCs w:val="24"/>
              </w:rPr>
            </w:pPr>
          </w:p>
        </w:tc>
        <w:tc>
          <w:tcPr>
            <w:tcW w:w="184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2025</w:t>
            </w:r>
          </w:p>
        </w:tc>
        <w:tc>
          <w:tcPr>
            <w:tcW w:w="1453"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2026</w:t>
            </w:r>
          </w:p>
        </w:tc>
        <w:tc>
          <w:tcPr>
            <w:tcW w:w="1318" w:type="dxa"/>
            <w:tcBorders>
              <w:top w:val="nil"/>
              <w:left w:val="nil"/>
              <w:bottom w:val="single" w:sz="6" w:space="0" w:color="000000"/>
              <w:right w:val="single" w:sz="6" w:space="0" w:color="BFBFBF"/>
            </w:tcBorders>
            <w:shd w:val="clear" w:color="auto" w:fill="auto"/>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sz w:val="24"/>
                <w:szCs w:val="24"/>
              </w:rPr>
            </w:pPr>
            <w:r>
              <w:rPr>
                <w:rFonts w:ascii="Times New Roman" w:eastAsia="Times New Roman" w:hAnsi="Times New Roman" w:cs="Times New Roman"/>
                <w:b/>
                <w:sz w:val="24"/>
                <w:szCs w:val="24"/>
              </w:rPr>
              <w:t>2027</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1350"/>
          <w:tblHeader/>
        </w:trPr>
        <w:tc>
          <w:tcPr>
            <w:tcW w:w="4222" w:type="dxa"/>
            <w:vMerge/>
            <w:tcBorders>
              <w:top w:val="nil"/>
              <w:left w:val="single" w:sz="6" w:space="0" w:color="BFBFBF"/>
              <w:bottom w:val="nil"/>
              <w:right w:val="single" w:sz="6" w:space="0" w:color="000000"/>
            </w:tcBorders>
            <w:shd w:val="clear" w:color="auto" w:fill="auto"/>
            <w:tcMar>
              <w:top w:w="100" w:type="dxa"/>
              <w:left w:w="100" w:type="dxa"/>
              <w:bottom w:w="100" w:type="dxa"/>
              <w:right w:w="100" w:type="dxa"/>
            </w:tcMar>
          </w:tcPr>
          <w:p w:rsidR="00E944C2" w:rsidRDefault="00E944C2" w:rsidP="00316155">
            <w:pPr>
              <w:pStyle w:val="Normal1"/>
              <w:jc w:val="both"/>
            </w:pPr>
          </w:p>
        </w:tc>
        <w:tc>
          <w:tcPr>
            <w:tcW w:w="1842" w:type="dxa"/>
            <w:tcBorders>
              <w:top w:val="nil"/>
              <w:left w:val="nil"/>
              <w:bottom w:val="single" w:sz="6" w:space="0" w:color="000000"/>
              <w:right w:val="single" w:sz="6" w:space="0" w:color="000000"/>
            </w:tcBorders>
            <w:shd w:val="clear" w:color="auto" w:fill="auto"/>
            <w:tcMar>
              <w:top w:w="0" w:type="dxa"/>
              <w:left w:w="120" w:type="dxa"/>
              <w:bottom w:w="0" w:type="dxa"/>
              <w:right w:w="120" w:type="dxa"/>
            </w:tcMar>
          </w:tcPr>
          <w:p w:rsidR="00E944C2" w:rsidRDefault="00F7666C" w:rsidP="00E36C81">
            <w:pPr>
              <w:pStyle w:val="Normal1"/>
              <w:spacing w:before="240" w:after="0" w:line="276" w:lineRule="auto"/>
              <w:jc w:val="both"/>
            </w:pPr>
            <w:r>
              <w:br/>
            </w:r>
            <w:r>
              <w:br/>
            </w:r>
            <w:r>
              <w:br/>
            </w:r>
          </w:p>
        </w:tc>
        <w:tc>
          <w:tcPr>
            <w:tcW w:w="1453" w:type="dxa"/>
            <w:tcBorders>
              <w:top w:val="nil"/>
              <w:left w:val="nil"/>
              <w:bottom w:val="single" w:sz="6" w:space="0" w:color="000000"/>
              <w:right w:val="single" w:sz="6" w:space="0" w:color="000000"/>
            </w:tcBorders>
            <w:shd w:val="clear" w:color="auto" w:fill="auto"/>
            <w:tcMar>
              <w:top w:w="0" w:type="dxa"/>
              <w:left w:w="100" w:type="dxa"/>
              <w:bottom w:w="0" w:type="dxa"/>
              <w:right w:w="100" w:type="dxa"/>
            </w:tcMar>
          </w:tcPr>
          <w:p w:rsidR="00E944C2" w:rsidRDefault="00F7666C" w:rsidP="00316155">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1318" w:type="dxa"/>
            <w:tcBorders>
              <w:top w:val="nil"/>
              <w:left w:val="nil"/>
              <w:bottom w:val="single" w:sz="6" w:space="0" w:color="000000"/>
              <w:right w:val="single" w:sz="6" w:space="0" w:color="BFBFBF"/>
            </w:tcBorders>
            <w:shd w:val="clear" w:color="auto" w:fill="auto"/>
            <w:tcMar>
              <w:top w:w="0" w:type="dxa"/>
              <w:left w:w="100" w:type="dxa"/>
              <w:bottom w:w="0" w:type="dxa"/>
              <w:right w:w="100" w:type="dxa"/>
            </w:tcMar>
          </w:tcPr>
          <w:p w:rsidR="00E944C2" w:rsidRDefault="00F7666C" w:rsidP="00E36C81">
            <w:pPr>
              <w:pStyle w:val="Normal1"/>
              <w:spacing w:before="240" w:after="0" w:line="276"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855"/>
          <w:tblHeader/>
        </w:trPr>
        <w:tc>
          <w:tcPr>
            <w:tcW w:w="4222" w:type="dxa"/>
            <w:tcBorders>
              <w:top w:val="single" w:sz="6" w:space="0" w:color="BFBFBF"/>
              <w:left w:val="single" w:sz="6" w:space="0" w:color="BFBFBF"/>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AKTIVNOSTI</w:t>
            </w:r>
          </w:p>
        </w:tc>
        <w:tc>
          <w:tcPr>
            <w:tcW w:w="1842"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Odgovorna osoba</w:t>
            </w:r>
          </w:p>
        </w:tc>
        <w:tc>
          <w:tcPr>
            <w:tcW w:w="1453" w:type="dxa"/>
            <w:tcBorders>
              <w:top w:val="nil"/>
              <w:left w:val="nil"/>
              <w:bottom w:val="single" w:sz="6" w:space="0" w:color="BFBFBF"/>
              <w:right w:val="single" w:sz="6" w:space="0" w:color="000000"/>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Datum početka</w:t>
            </w:r>
          </w:p>
        </w:tc>
        <w:tc>
          <w:tcPr>
            <w:tcW w:w="1318" w:type="dxa"/>
            <w:tcBorders>
              <w:top w:val="nil"/>
              <w:left w:val="nil"/>
              <w:bottom w:val="single" w:sz="6" w:space="0" w:color="BFBFBF"/>
              <w:right w:val="single" w:sz="6" w:space="0" w:color="BFBFBF"/>
            </w:tcBorders>
            <w:shd w:val="clear" w:color="auto" w:fill="0070C0"/>
            <w:tcMar>
              <w:top w:w="0" w:type="dxa"/>
              <w:left w:w="120" w:type="dxa"/>
              <w:bottom w:w="0" w:type="dxa"/>
              <w:right w:w="120" w:type="dxa"/>
            </w:tcMar>
          </w:tcPr>
          <w:p w:rsidR="00E944C2" w:rsidRDefault="00F7666C" w:rsidP="00316155">
            <w:pPr>
              <w:pStyle w:val="Normal1"/>
              <w:spacing w:before="240" w:after="0" w:line="276" w:lineRule="auto"/>
              <w:jc w:val="both"/>
              <w:rPr>
                <w:rFonts w:ascii="Times New Roman" w:eastAsia="Times New Roman" w:hAnsi="Times New Roman" w:cs="Times New Roman"/>
                <w:b/>
                <w:color w:val="FFFFFF"/>
                <w:sz w:val="24"/>
                <w:szCs w:val="24"/>
              </w:rPr>
            </w:pPr>
            <w:r>
              <w:rPr>
                <w:rFonts w:ascii="Times New Roman" w:eastAsia="Times New Roman" w:hAnsi="Times New Roman" w:cs="Times New Roman"/>
                <w:b/>
                <w:color w:val="FFFFFF"/>
                <w:sz w:val="24"/>
                <w:szCs w:val="24"/>
              </w:rPr>
              <w:t>Krajnji rok</w:t>
            </w:r>
          </w:p>
        </w:tc>
        <w:tc>
          <w:tcPr>
            <w:tcW w:w="60" w:type="dxa"/>
            <w:tcBorders>
              <w:top w:val="nil"/>
              <w:left w:val="nil"/>
              <w:bottom w:val="nil"/>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rsidTr="00316155">
        <w:trPr>
          <w:cantSplit/>
          <w:trHeight w:val="2115"/>
          <w:tblHeader/>
        </w:trPr>
        <w:tc>
          <w:tcPr>
            <w:tcW w:w="4222" w:type="dxa"/>
            <w:tcBorders>
              <w:top w:val="nil"/>
              <w:left w:val="single" w:sz="6" w:space="0" w:color="BFBFBF"/>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spacing w:before="240" w:line="276" w:lineRule="auto"/>
              <w:jc w:val="both"/>
              <w:rPr>
                <w:rFonts w:ascii="Times New Roman" w:eastAsia="Times New Roman" w:hAnsi="Times New Roman" w:cs="Times New Roman"/>
                <w:sz w:val="24"/>
                <w:szCs w:val="24"/>
              </w:rPr>
            </w:pPr>
          </w:p>
        </w:tc>
        <w:tc>
          <w:tcPr>
            <w:tcW w:w="1842"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453"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1318" w:type="dxa"/>
            <w:tcBorders>
              <w:top w:val="nil"/>
              <w:left w:val="nil"/>
              <w:bottom w:val="single" w:sz="6" w:space="0" w:color="BFBFBF"/>
              <w:right w:val="single" w:sz="6" w:space="0" w:color="BFBFBF"/>
            </w:tcBorders>
            <w:shd w:val="clear" w:color="auto" w:fill="auto"/>
            <w:tcMar>
              <w:top w:w="0" w:type="dxa"/>
              <w:left w:w="120" w:type="dxa"/>
              <w:bottom w:w="0" w:type="dxa"/>
              <w:right w:w="120" w:type="dxa"/>
            </w:tcMar>
          </w:tcPr>
          <w:p w:rsidR="00E944C2" w:rsidRDefault="00E944C2" w:rsidP="00316155">
            <w:pPr>
              <w:pStyle w:val="Normal1"/>
              <w:jc w:val="both"/>
            </w:pPr>
          </w:p>
        </w:tc>
        <w:tc>
          <w:tcPr>
            <w:tcW w:w="60" w:type="dxa"/>
            <w:tcBorders>
              <w:top w:val="nil"/>
              <w:left w:val="nil"/>
              <w:bottom w:val="single" w:sz="6" w:space="0" w:color="BFBFBF"/>
              <w:right w:val="nil"/>
            </w:tcBorders>
            <w:shd w:val="clear" w:color="auto" w:fill="auto"/>
            <w:tcMar>
              <w:top w:w="20" w:type="dxa"/>
              <w:left w:w="20" w:type="dxa"/>
              <w:bottom w:w="20" w:type="dxa"/>
              <w:right w:w="20" w:type="dxa"/>
            </w:tcMar>
          </w:tcPr>
          <w:p w:rsidR="00E944C2" w:rsidRDefault="00E944C2" w:rsidP="00316155">
            <w:pPr>
              <w:pStyle w:val="Normal1"/>
              <w:jc w:val="both"/>
            </w:pPr>
          </w:p>
        </w:tc>
      </w:tr>
      <w:tr w:rsidR="00E944C2">
        <w:trPr>
          <w:cantSplit/>
          <w:trHeight w:val="810"/>
          <w:tblHeader/>
        </w:trPr>
        <w:tc>
          <w:tcPr>
            <w:tcW w:w="8895" w:type="dxa"/>
            <w:gridSpan w:val="5"/>
            <w:tcBorders>
              <w:top w:val="nil"/>
              <w:left w:val="single" w:sz="6" w:space="0" w:color="BFBFBF"/>
              <w:bottom w:val="nil"/>
              <w:right w:val="single" w:sz="6" w:space="0" w:color="BFBFBF"/>
            </w:tcBorders>
            <w:shd w:val="clear" w:color="auto" w:fill="0070C0"/>
            <w:tcMar>
              <w:top w:w="0" w:type="dxa"/>
              <w:left w:w="120" w:type="dxa"/>
              <w:bottom w:w="0" w:type="dxa"/>
              <w:right w:w="120" w:type="dxa"/>
            </w:tcMar>
          </w:tcPr>
          <w:p w:rsidR="00E944C2" w:rsidRDefault="00F7666C" w:rsidP="00AD30E8">
            <w:pPr>
              <w:pStyle w:val="Normal1"/>
              <w:spacing w:before="240" w:after="0" w:line="276" w:lineRule="auto"/>
              <w:rPr>
                <w:rFonts w:ascii="Times New Roman" w:eastAsia="Times New Roman" w:hAnsi="Times New Roman" w:cs="Times New Roman"/>
                <w:color w:val="FFFFFF"/>
                <w:sz w:val="24"/>
                <w:szCs w:val="24"/>
              </w:rPr>
            </w:pPr>
            <w:r>
              <w:rPr>
                <w:rFonts w:ascii="Times New Roman" w:eastAsia="Times New Roman" w:hAnsi="Times New Roman" w:cs="Times New Roman"/>
                <w:b/>
                <w:color w:val="FFFFFF"/>
                <w:sz w:val="24"/>
                <w:szCs w:val="24"/>
              </w:rPr>
              <w:t>Dodatne napomene:</w:t>
            </w:r>
            <w:r>
              <w:rPr>
                <w:rFonts w:ascii="Times New Roman" w:eastAsia="Times New Roman" w:hAnsi="Times New Roman" w:cs="Times New Roman"/>
                <w:b/>
                <w:color w:val="FFFFFF"/>
                <w:sz w:val="24"/>
                <w:szCs w:val="24"/>
              </w:rPr>
              <w:br/>
            </w:r>
            <w:r>
              <w:rPr>
                <w:rFonts w:ascii="Times New Roman" w:eastAsia="Times New Roman" w:hAnsi="Times New Roman" w:cs="Times New Roman"/>
                <w:color w:val="FFFFFF"/>
                <w:sz w:val="24"/>
                <w:szCs w:val="24"/>
              </w:rPr>
              <w:t>Potrebne dozvole za instalaciju kamera na pojedinim lokacijama (šumske parcele i državna imovina).</w:t>
            </w:r>
          </w:p>
          <w:p w:rsidR="00E944C2" w:rsidRDefault="00F7666C" w:rsidP="00316155">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Mogućnost integracije sa postojećim VMS sistemom Glavnog grada i nadogradnje na AI algoritme za automatsko prepoznavanje dima i vatre.</w:t>
            </w:r>
          </w:p>
          <w:p w:rsidR="00E944C2" w:rsidRDefault="00F7666C" w:rsidP="00316155">
            <w:pPr>
              <w:pStyle w:val="Normal1"/>
              <w:pBdr>
                <w:left w:val="none" w:sz="0" w:space="14" w:color="auto"/>
              </w:pBdr>
              <w:spacing w:before="240" w:after="240" w:line="276" w:lineRule="auto"/>
              <w:jc w:val="both"/>
              <w:rPr>
                <w:rFonts w:ascii="Times New Roman" w:eastAsia="Times New Roman" w:hAnsi="Times New Roman" w:cs="Times New Roman"/>
                <w:color w:val="FFFFFF"/>
                <w:sz w:val="24"/>
                <w:szCs w:val="24"/>
              </w:rPr>
            </w:pPr>
            <w:r>
              <w:rPr>
                <w:rFonts w:ascii="Times New Roman" w:eastAsia="Times New Roman" w:hAnsi="Times New Roman" w:cs="Times New Roman"/>
                <w:color w:val="FFFFFF"/>
                <w:sz w:val="24"/>
                <w:szCs w:val="24"/>
              </w:rPr>
              <w:t>Poseban značaj u kontekstu klimatskih promjena i porasta broja šumskih požara u ljetnjem periodu.</w:t>
            </w:r>
          </w:p>
          <w:p w:rsidR="00E944C2" w:rsidRDefault="00E944C2" w:rsidP="00316155">
            <w:pPr>
              <w:pStyle w:val="Normal1"/>
              <w:spacing w:before="240" w:after="0" w:line="276" w:lineRule="auto"/>
              <w:jc w:val="both"/>
              <w:rPr>
                <w:rFonts w:ascii="Times New Roman" w:eastAsia="Times New Roman" w:hAnsi="Times New Roman" w:cs="Times New Roman"/>
                <w:b/>
                <w:color w:val="FFFFFF"/>
                <w:sz w:val="14"/>
                <w:szCs w:val="14"/>
              </w:rPr>
            </w:pPr>
          </w:p>
        </w:tc>
      </w:tr>
    </w:tbl>
    <w:p w:rsidR="00E944C2" w:rsidRDefault="00E944C2" w:rsidP="00316155">
      <w:pPr>
        <w:pStyle w:val="Normal1"/>
        <w:spacing w:before="240" w:after="240"/>
        <w:jc w:val="both"/>
      </w:pPr>
    </w:p>
    <w:sectPr w:rsidR="00E944C2" w:rsidSect="00595D39">
      <w:type w:val="continuous"/>
      <w:pgSz w:w="12240" w:h="15840"/>
      <w:pgMar w:top="1440" w:right="1440" w:bottom="1440" w:left="1440" w:header="720" w:footer="720"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A4C28" w:rsidRDefault="009A4C28">
      <w:pPr>
        <w:spacing w:line="240" w:lineRule="auto"/>
      </w:pPr>
      <w:r>
        <w:separator/>
      </w:r>
    </w:p>
  </w:endnote>
  <w:endnote w:type="continuationSeparator" w:id="0">
    <w:p w:rsidR="009A4C28" w:rsidRDefault="009A4C28">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sig w:usb0="00000000" w:usb1="00000000" w:usb2="00000000" w:usb3="00000000" w:csb0="0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Arial">
    <w:panose1 w:val="020B0604020202020204"/>
    <w:charset w:val="EE"/>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91487487"/>
      <w:docPartObj>
        <w:docPartGallery w:val="Page Numbers (Bottom of Page)"/>
        <w:docPartUnique/>
      </w:docPartObj>
    </w:sdtPr>
    <w:sdtContent>
      <w:p w:rsidR="006A0398" w:rsidRDefault="00290C90">
        <w:pPr>
          <w:pStyle w:val="Footer"/>
          <w:jc w:val="center"/>
        </w:pPr>
        <w:r>
          <w:fldChar w:fldCharType="begin"/>
        </w:r>
        <w:r w:rsidR="006A0398">
          <w:instrText xml:space="preserve"> PAGE   \* MERGEFORMAT </w:instrText>
        </w:r>
        <w:r>
          <w:fldChar w:fldCharType="separate"/>
        </w:r>
        <w:r w:rsidR="00AF3759">
          <w:rPr>
            <w:noProof/>
          </w:rPr>
          <w:t>153</w:t>
        </w:r>
        <w:r>
          <w:fldChar w:fldCharType="end"/>
        </w:r>
      </w:p>
    </w:sdtContent>
  </w:sdt>
  <w:p w:rsidR="006A0398" w:rsidRDefault="006A0398">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A4C28" w:rsidRDefault="009A4C28">
      <w:pPr>
        <w:spacing w:after="0"/>
      </w:pPr>
      <w:r>
        <w:separator/>
      </w:r>
    </w:p>
  </w:footnote>
  <w:footnote w:type="continuationSeparator" w:id="0">
    <w:p w:rsidR="009A4C28" w:rsidRDefault="009A4C28">
      <w:pPr>
        <w:spacing w:after="0"/>
      </w:pPr>
      <w:r>
        <w:continuationSeparator/>
      </w:r>
    </w:p>
  </w:footnote>
  <w:footnote w:id="1">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Baza podataka prijava trgovinskih objekata koju vodi Sekretarijat za preduzetništvo i innvesticije Glavnog grada Podgorice.</w:t>
      </w:r>
    </w:p>
  </w:footnote>
  <w:footnote w:id="2">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U ovoj bazi je uključeno i 620 aktivnih trgovnskih objekata opština Tuzi i Zeta čija je evidencija vođena pri Glavnom gradu do njihovog odvajanja.</w:t>
      </w:r>
    </w:p>
  </w:footnote>
  <w:footnote w:id="3">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Baza podataka prijava zanatskih objekata koju vodi Sekretarijat za preduzetništvo i investicije Glavnog grada Podgorice.</w:t>
      </w:r>
    </w:p>
  </w:footnote>
  <w:footnote w:id="4">
    <w:p w:rsidR="006A0398" w:rsidRDefault="006A0398">
      <w:pPr>
        <w:pStyle w:val="Normal1"/>
        <w:spacing w:after="0" w:line="240" w:lineRule="auto"/>
        <w:jc w:val="both"/>
        <w:rPr>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U ovoj bazi je uključeno i 85 aktivnih zanatskih objekata opština Tuzi i Zeta čija je evidencija vođena pri Glavnom gradu do njihovog odvajanja.</w:t>
      </w:r>
    </w:p>
  </w:footnote>
  <w:footnote w:id="5">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hAnsi="Times New Roman" w:cs="Times New Roman"/>
          <w:color w:val="000000"/>
          <w:sz w:val="20"/>
          <w:szCs w:val="20"/>
        </w:rPr>
        <w:t>Zakon o socijalnoj i dječjoj zaštiti ("Službeni list Crne Gore", br. 27/13, 1/15, 42/15, 47/15, 56/16, 66/16, 1/17, 31/17, 42/17, 50/17, 59/21, 145/21, 145/21, 3/23, 48/24, 84/24, 33/25));</w:t>
      </w:r>
    </w:p>
  </w:footnote>
  <w:footnote w:id="6">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hAnsi="Times New Roman" w:cs="Times New Roman"/>
          <w:color w:val="000000"/>
          <w:sz w:val="20"/>
          <w:szCs w:val="20"/>
        </w:rPr>
        <w:t xml:space="preserve">Zakon o socijalnoj i dječjoj zaštiti („Službeni list Crne Gore”, br. 27/13, 1/15, 42/15, 47/15, 56/16, 66/16, 1/17, 31/17, 42/17, 50/17, 59/21, 145/21, 145/21, 3/23, 48/24, 84/24, 33/25) </w:t>
      </w:r>
    </w:p>
  </w:footnote>
  <w:footnote w:id="7">
    <w:p w:rsidR="006A0398" w:rsidRDefault="006A0398">
      <w:pPr>
        <w:pStyle w:val="Normal1"/>
        <w:spacing w:after="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hAnsi="Times New Roman" w:cs="Times New Roman"/>
          <w:color w:val="000000"/>
          <w:sz w:val="20"/>
          <w:szCs w:val="20"/>
        </w:rPr>
        <w:t>Zakon o socijalnoj i dječjoj zaštiti („Službeni list Crne Gore”, br. 27/13, 1/15, 42/15, 47/15, 56/16, 66/16, 1/17, 31/17, 42/17, 50/17, 59/21, 145/21, 145/21, 3/23, 48/24, 84/24, 33/25)</w:t>
      </w:r>
    </w:p>
  </w:footnote>
  <w:footnote w:id="8">
    <w:p w:rsidR="006A0398" w:rsidRDefault="006A0398">
      <w:pPr>
        <w:pStyle w:val="Normal1"/>
        <w:spacing w:after="0" w:line="240" w:lineRule="auto"/>
        <w:jc w:val="both"/>
        <w:rPr>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Odluka o pravima iz socijalne i dječje zaštite (</w:t>
      </w:r>
      <w:r>
        <w:rPr>
          <w:rFonts w:ascii="Times New Roman" w:hAnsi="Times New Roman" w:cs="Times New Roman"/>
          <w:color w:val="000000"/>
          <w:sz w:val="20"/>
          <w:szCs w:val="20"/>
        </w:rPr>
        <w:t>"Službeni list Crne Gore - opštinski propisi", br. 12/25</w:t>
      </w:r>
      <w:r>
        <w:rPr>
          <w:rFonts w:ascii="Times New Roman" w:eastAsia="Times New Roman" w:hAnsi="Times New Roman" w:cs="Times New Roman"/>
          <w:color w:val="000000"/>
          <w:sz w:val="20"/>
          <w:szCs w:val="20"/>
        </w:rPr>
        <w:t>)</w:t>
      </w:r>
    </w:p>
  </w:footnote>
  <w:footnote w:id="9">
    <w:p w:rsidR="006A0398" w:rsidRDefault="006A0398">
      <w:pPr>
        <w:pStyle w:val="Normal1"/>
        <w:spacing w:before="60" w:after="200" w:line="240" w:lineRule="auto"/>
        <w:jc w:val="both"/>
        <w:rPr>
          <w:rFonts w:ascii="Times New Roman" w:eastAsia="Times New Roman" w:hAnsi="Times New Roman" w:cs="Times New Roman"/>
          <w:color w:val="000000"/>
          <w:sz w:val="20"/>
          <w:szCs w:val="20"/>
        </w:rPr>
      </w:pPr>
      <w:r>
        <w:rPr>
          <w:rFonts w:ascii="Times New Roman" w:hAnsi="Times New Roman" w:cs="Times New Roman"/>
          <w:sz w:val="20"/>
          <w:szCs w:val="20"/>
          <w:vertAlign w:val="superscript"/>
        </w:rPr>
        <w:footnoteRef/>
      </w:r>
      <w:r>
        <w:rPr>
          <w:rFonts w:ascii="Times New Roman" w:eastAsia="Times New Roman" w:hAnsi="Times New Roman" w:cs="Times New Roman"/>
          <w:color w:val="000000"/>
          <w:sz w:val="20"/>
          <w:szCs w:val="20"/>
        </w:rPr>
        <w:t xml:space="preserve"> Odluka o davanju stanova u zakup licima u stanju socijalne potrebe "Službeni list Crne Gore - opštinski propisi", br. 47/20).</w:t>
      </w:r>
    </w:p>
    <w:p w:rsidR="006A0398" w:rsidRDefault="006A0398">
      <w:pPr>
        <w:pStyle w:val="Normal1"/>
        <w:spacing w:after="0" w:line="240" w:lineRule="auto"/>
        <w:rPr>
          <w:color w:val="000000"/>
          <w:sz w:val="20"/>
          <w:szCs w:val="20"/>
        </w:rPr>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398" w:rsidRDefault="006A0398">
    <w:pPr>
      <w:pStyle w:val="Normal1"/>
      <w:tabs>
        <w:tab w:val="center" w:pos="4680"/>
        <w:tab w:val="right" w:pos="9360"/>
      </w:tabs>
      <w:spacing w:after="0" w:line="240" w:lineRule="auto"/>
      <w:rPr>
        <w:color w:val="00000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398" w:rsidRDefault="006A0398">
    <w:pPr>
      <w:pStyle w:val="Normal1"/>
      <w:tabs>
        <w:tab w:val="center" w:pos="4680"/>
        <w:tab w:val="right" w:pos="9360"/>
      </w:tabs>
      <w:spacing w:after="0" w:line="240" w:lineRule="auto"/>
      <w:rPr>
        <w:color w:val="000000"/>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A0398" w:rsidRDefault="006A0398">
    <w:pPr>
      <w:pStyle w:val="Normal1"/>
      <w:tabs>
        <w:tab w:val="center" w:pos="4680"/>
        <w:tab w:val="right" w:pos="9360"/>
      </w:tabs>
      <w:spacing w:after="0" w:line="240" w:lineRule="auto"/>
      <w:rPr>
        <w:color w:val="000000"/>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E37DCB"/>
    <w:multiLevelType w:val="multilevel"/>
    <w:tmpl w:val="02E37DCB"/>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62A3395"/>
    <w:multiLevelType w:val="multilevel"/>
    <w:tmpl w:val="062A339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nsid w:val="06F7578C"/>
    <w:multiLevelType w:val="multilevel"/>
    <w:tmpl w:val="06F7578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
    <w:nsid w:val="08A5561D"/>
    <w:multiLevelType w:val="multilevel"/>
    <w:tmpl w:val="08A5561D"/>
    <w:lvl w:ilvl="0">
      <w:start w:val="3"/>
      <w:numFmt w:val="decimal"/>
      <w:lvlText w:val="%1."/>
      <w:lvlJc w:val="left"/>
      <w:pPr>
        <w:ind w:left="540" w:hanging="540"/>
      </w:pPr>
    </w:lvl>
    <w:lvl w:ilvl="1">
      <w:start w:val="6"/>
      <w:numFmt w:val="decimal"/>
      <w:lvlText w:val="%1.%2."/>
      <w:lvlJc w:val="left"/>
      <w:pPr>
        <w:ind w:left="540" w:hanging="54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
    <w:nsid w:val="09EF54E9"/>
    <w:multiLevelType w:val="multilevel"/>
    <w:tmpl w:val="09EF54E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nsid w:val="120B6DE0"/>
    <w:multiLevelType w:val="multilevel"/>
    <w:tmpl w:val="120B6DE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nsid w:val="1F7D2B26"/>
    <w:multiLevelType w:val="multilevel"/>
    <w:tmpl w:val="1F7D2B26"/>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7">
    <w:nsid w:val="24AE6804"/>
    <w:multiLevelType w:val="multilevel"/>
    <w:tmpl w:val="24AE6804"/>
    <w:lvl w:ilvl="0">
      <w:start w:val="1"/>
      <w:numFmt w:val="bullet"/>
      <w:lvlText w:val=""/>
      <w:lvlJc w:val="left"/>
      <w:pPr>
        <w:ind w:left="1080" w:hanging="360"/>
      </w:pPr>
      <w:rPr>
        <w:rFonts w:ascii="Symbol" w:hAnsi="Symbol" w:hint="default"/>
      </w:rPr>
    </w:lvl>
    <w:lvl w:ilvl="1">
      <w:start w:val="1"/>
      <w:numFmt w:val="bullet"/>
      <w:lvlText w:val="o"/>
      <w:lvlJc w:val="left"/>
      <w:pPr>
        <w:ind w:left="1800" w:hanging="360"/>
      </w:pPr>
      <w:rPr>
        <w:rFonts w:ascii="Courier New" w:hAnsi="Courier New" w:cs="Courier New" w:hint="default"/>
      </w:rPr>
    </w:lvl>
    <w:lvl w:ilvl="2">
      <w:start w:val="1"/>
      <w:numFmt w:val="bullet"/>
      <w:lvlText w:val=""/>
      <w:lvlJc w:val="left"/>
      <w:pPr>
        <w:ind w:left="2520" w:hanging="360"/>
      </w:pPr>
      <w:rPr>
        <w:rFonts w:ascii="Wingdings" w:hAnsi="Wingdings" w:hint="default"/>
      </w:rPr>
    </w:lvl>
    <w:lvl w:ilvl="3">
      <w:start w:val="1"/>
      <w:numFmt w:val="bullet"/>
      <w:lvlText w:val=""/>
      <w:lvlJc w:val="left"/>
      <w:pPr>
        <w:ind w:left="3240" w:hanging="360"/>
      </w:pPr>
      <w:rPr>
        <w:rFonts w:ascii="Symbol" w:hAnsi="Symbol" w:hint="default"/>
      </w:rPr>
    </w:lvl>
    <w:lvl w:ilvl="4">
      <w:start w:val="1"/>
      <w:numFmt w:val="bullet"/>
      <w:lvlText w:val="o"/>
      <w:lvlJc w:val="left"/>
      <w:pPr>
        <w:ind w:left="3960" w:hanging="360"/>
      </w:pPr>
      <w:rPr>
        <w:rFonts w:ascii="Courier New" w:hAnsi="Courier New" w:cs="Courier New" w:hint="default"/>
      </w:rPr>
    </w:lvl>
    <w:lvl w:ilvl="5">
      <w:start w:val="1"/>
      <w:numFmt w:val="bullet"/>
      <w:lvlText w:val=""/>
      <w:lvlJc w:val="left"/>
      <w:pPr>
        <w:ind w:left="4680" w:hanging="360"/>
      </w:pPr>
      <w:rPr>
        <w:rFonts w:ascii="Wingdings" w:hAnsi="Wingdings" w:hint="default"/>
      </w:rPr>
    </w:lvl>
    <w:lvl w:ilvl="6">
      <w:start w:val="1"/>
      <w:numFmt w:val="bullet"/>
      <w:lvlText w:val=""/>
      <w:lvlJc w:val="left"/>
      <w:pPr>
        <w:ind w:left="5400" w:hanging="360"/>
      </w:pPr>
      <w:rPr>
        <w:rFonts w:ascii="Symbol" w:hAnsi="Symbol" w:hint="default"/>
      </w:rPr>
    </w:lvl>
    <w:lvl w:ilvl="7">
      <w:start w:val="1"/>
      <w:numFmt w:val="bullet"/>
      <w:lvlText w:val="o"/>
      <w:lvlJc w:val="left"/>
      <w:pPr>
        <w:ind w:left="6120" w:hanging="360"/>
      </w:pPr>
      <w:rPr>
        <w:rFonts w:ascii="Courier New" w:hAnsi="Courier New" w:cs="Courier New" w:hint="default"/>
      </w:rPr>
    </w:lvl>
    <w:lvl w:ilvl="8">
      <w:start w:val="1"/>
      <w:numFmt w:val="bullet"/>
      <w:lvlText w:val=""/>
      <w:lvlJc w:val="left"/>
      <w:pPr>
        <w:ind w:left="6840" w:hanging="360"/>
      </w:pPr>
      <w:rPr>
        <w:rFonts w:ascii="Wingdings" w:hAnsi="Wingdings" w:hint="default"/>
      </w:rPr>
    </w:lvl>
  </w:abstractNum>
  <w:abstractNum w:abstractNumId="8">
    <w:nsid w:val="24E637AA"/>
    <w:multiLevelType w:val="multilevel"/>
    <w:tmpl w:val="24E637AA"/>
    <w:lvl w:ilvl="0">
      <w:start w:val="1"/>
      <w:numFmt w:val="decimal"/>
      <w:lvlText w:val="%1."/>
      <w:lvlJc w:val="left"/>
      <w:pPr>
        <w:ind w:left="720" w:hanging="360"/>
      </w:pPr>
      <w:rPr>
        <w:u w:val="none"/>
      </w:rPr>
    </w:lvl>
    <w:lvl w:ilvl="1">
      <w:start w:val="1"/>
      <w:numFmt w:val="bullet"/>
      <w:lvlText w:val="o"/>
      <w:lvlJc w:val="left"/>
      <w:pPr>
        <w:ind w:left="1440" w:hanging="360"/>
      </w:pPr>
      <w:rPr>
        <w:u w:val="none"/>
      </w:rPr>
    </w:lvl>
    <w:lvl w:ilvl="2">
      <w:start w:val="1"/>
      <w:numFmt w:val="decimal"/>
      <w:lvlText w:val="%3."/>
      <w:lvlJc w:val="left"/>
      <w:pPr>
        <w:ind w:left="2160" w:hanging="360"/>
      </w:pPr>
      <w:rPr>
        <w:u w:val="none"/>
      </w:rPr>
    </w:lvl>
    <w:lvl w:ilvl="3">
      <w:start w:val="1"/>
      <w:numFmt w:val="decimal"/>
      <w:lvlText w:val="%4."/>
      <w:lvlJc w:val="left"/>
      <w:pPr>
        <w:ind w:left="2880" w:hanging="360"/>
      </w:pPr>
      <w:rPr>
        <w:u w:val="none"/>
      </w:rPr>
    </w:lvl>
    <w:lvl w:ilvl="4">
      <w:start w:val="1"/>
      <w:numFmt w:val="decimal"/>
      <w:lvlText w:val="%5."/>
      <w:lvlJc w:val="left"/>
      <w:pPr>
        <w:ind w:left="3600" w:hanging="360"/>
      </w:pPr>
      <w:rPr>
        <w:u w:val="none"/>
      </w:rPr>
    </w:lvl>
    <w:lvl w:ilvl="5">
      <w:start w:val="1"/>
      <w:numFmt w:val="decimal"/>
      <w:lvlText w:val="%6."/>
      <w:lvlJc w:val="left"/>
      <w:pPr>
        <w:ind w:left="4320" w:hanging="360"/>
      </w:pPr>
      <w:rPr>
        <w:u w:val="none"/>
      </w:rPr>
    </w:lvl>
    <w:lvl w:ilvl="6">
      <w:start w:val="1"/>
      <w:numFmt w:val="decimal"/>
      <w:lvlText w:val="%7."/>
      <w:lvlJc w:val="left"/>
      <w:pPr>
        <w:ind w:left="5040" w:hanging="360"/>
      </w:pPr>
      <w:rPr>
        <w:u w:val="none"/>
      </w:rPr>
    </w:lvl>
    <w:lvl w:ilvl="7">
      <w:start w:val="1"/>
      <w:numFmt w:val="decimal"/>
      <w:lvlText w:val="%8."/>
      <w:lvlJc w:val="left"/>
      <w:pPr>
        <w:ind w:left="5760" w:hanging="360"/>
      </w:pPr>
      <w:rPr>
        <w:u w:val="none"/>
      </w:rPr>
    </w:lvl>
    <w:lvl w:ilvl="8">
      <w:start w:val="1"/>
      <w:numFmt w:val="decimal"/>
      <w:lvlText w:val="%9."/>
      <w:lvlJc w:val="left"/>
      <w:pPr>
        <w:ind w:left="6480" w:hanging="360"/>
      </w:pPr>
      <w:rPr>
        <w:u w:val="none"/>
      </w:rPr>
    </w:lvl>
  </w:abstractNum>
  <w:abstractNum w:abstractNumId="9">
    <w:nsid w:val="2D106DD5"/>
    <w:multiLevelType w:val="multilevel"/>
    <w:tmpl w:val="2D106DD5"/>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0">
    <w:nsid w:val="2DD16214"/>
    <w:multiLevelType w:val="multilevel"/>
    <w:tmpl w:val="2DD16214"/>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1">
    <w:nsid w:val="345260AA"/>
    <w:multiLevelType w:val="multilevel"/>
    <w:tmpl w:val="345260A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2">
    <w:nsid w:val="36C8533A"/>
    <w:multiLevelType w:val="multilevel"/>
    <w:tmpl w:val="36C853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nsid w:val="36DE1351"/>
    <w:multiLevelType w:val="multilevel"/>
    <w:tmpl w:val="36DE1351"/>
    <w:lvl w:ilvl="0">
      <w:start w:val="1"/>
      <w:numFmt w:val="bullet"/>
      <w:lvlText w:val=""/>
      <w:lvlJc w:val="left"/>
      <w:pPr>
        <w:ind w:left="1429" w:hanging="360"/>
      </w:pPr>
      <w:rPr>
        <w:rFonts w:ascii="Symbol" w:hAnsi="Symbol" w:hint="default"/>
        <w:color w:val="auto"/>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hint="default"/>
      </w:rPr>
    </w:lvl>
    <w:lvl w:ilvl="3">
      <w:start w:val="1"/>
      <w:numFmt w:val="bullet"/>
      <w:lvlText w:val=""/>
      <w:lvlJc w:val="left"/>
      <w:pPr>
        <w:ind w:left="3589" w:hanging="360"/>
      </w:pPr>
      <w:rPr>
        <w:rFonts w:ascii="Symbol" w:hAnsi="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hint="default"/>
      </w:rPr>
    </w:lvl>
    <w:lvl w:ilvl="6">
      <w:start w:val="1"/>
      <w:numFmt w:val="bullet"/>
      <w:lvlText w:val=""/>
      <w:lvlJc w:val="left"/>
      <w:pPr>
        <w:ind w:left="5749" w:hanging="360"/>
      </w:pPr>
      <w:rPr>
        <w:rFonts w:ascii="Symbol" w:hAnsi="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hint="default"/>
      </w:rPr>
    </w:lvl>
  </w:abstractNum>
  <w:abstractNum w:abstractNumId="14">
    <w:nsid w:val="37167BCE"/>
    <w:multiLevelType w:val="multilevel"/>
    <w:tmpl w:val="37167BC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nsid w:val="376E43BB"/>
    <w:multiLevelType w:val="multilevel"/>
    <w:tmpl w:val="376E43BB"/>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16">
    <w:nsid w:val="377B2B0F"/>
    <w:multiLevelType w:val="multilevel"/>
    <w:tmpl w:val="377B2B0F"/>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17">
    <w:nsid w:val="391F1EA9"/>
    <w:multiLevelType w:val="multilevel"/>
    <w:tmpl w:val="391F1EA9"/>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8">
    <w:nsid w:val="3C850D94"/>
    <w:multiLevelType w:val="multilevel"/>
    <w:tmpl w:val="3C850D94"/>
    <w:lvl w:ilvl="0">
      <w:start w:val="1"/>
      <w:numFmt w:val="bullet"/>
      <w:lvlText w:val=""/>
      <w:lvlJc w:val="left"/>
      <w:pPr>
        <w:ind w:left="1440" w:hanging="360"/>
      </w:pPr>
      <w:rPr>
        <w:rFonts w:ascii="Symbol" w:hAnsi="Symbol" w:hint="default"/>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hint="default"/>
      </w:rPr>
    </w:lvl>
    <w:lvl w:ilvl="3">
      <w:start w:val="1"/>
      <w:numFmt w:val="bullet"/>
      <w:lvlText w:val=""/>
      <w:lvlJc w:val="left"/>
      <w:pPr>
        <w:ind w:left="3600" w:hanging="360"/>
      </w:pPr>
      <w:rPr>
        <w:rFonts w:ascii="Symbol" w:hAnsi="Symbol" w:hint="default"/>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hint="default"/>
      </w:rPr>
    </w:lvl>
    <w:lvl w:ilvl="6">
      <w:start w:val="1"/>
      <w:numFmt w:val="bullet"/>
      <w:lvlText w:val=""/>
      <w:lvlJc w:val="left"/>
      <w:pPr>
        <w:ind w:left="5760" w:hanging="360"/>
      </w:pPr>
      <w:rPr>
        <w:rFonts w:ascii="Symbol" w:hAnsi="Symbol" w:hint="default"/>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hint="default"/>
      </w:rPr>
    </w:lvl>
  </w:abstractNum>
  <w:abstractNum w:abstractNumId="19">
    <w:nsid w:val="3E405156"/>
    <w:multiLevelType w:val="multilevel"/>
    <w:tmpl w:val="3E405156"/>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0AD742A"/>
    <w:multiLevelType w:val="multilevel"/>
    <w:tmpl w:val="40AD7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Symbol" w:hAnsi="Symbol" w:hint="default"/>
        <w:color w:val="auto"/>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nsid w:val="459654A4"/>
    <w:multiLevelType w:val="multilevel"/>
    <w:tmpl w:val="459654A4"/>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2">
    <w:nsid w:val="47BF3B54"/>
    <w:multiLevelType w:val="multilevel"/>
    <w:tmpl w:val="47BF3B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Symbol" w:hAnsi="Symbol" w:hint="default"/>
        <w:color w:val="auto"/>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nsid w:val="4C884090"/>
    <w:multiLevelType w:val="multilevel"/>
    <w:tmpl w:val="4C8840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nsid w:val="54E816A2"/>
    <w:multiLevelType w:val="multilevel"/>
    <w:tmpl w:val="54E816A2"/>
    <w:lvl w:ilvl="0">
      <w:start w:val="1"/>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5">
    <w:nsid w:val="552C40A1"/>
    <w:multiLevelType w:val="multilevel"/>
    <w:tmpl w:val="552C40A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rFonts w:ascii="Symbol" w:hAnsi="Symbol" w:hint="default"/>
        <w:color w:val="auto"/>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nsid w:val="5DD32E5A"/>
    <w:multiLevelType w:val="multilevel"/>
    <w:tmpl w:val="5DD32E5A"/>
    <w:lvl w:ilvl="0">
      <w:start w:val="1"/>
      <w:numFmt w:val="bullet"/>
      <w:lvlText w:val=""/>
      <w:lvlJc w:val="left"/>
      <w:pPr>
        <w:ind w:left="1800" w:hanging="360"/>
      </w:pPr>
      <w:rPr>
        <w:rFonts w:ascii="Symbol" w:hAnsi="Symbol"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27">
    <w:nsid w:val="5FB57443"/>
    <w:multiLevelType w:val="multilevel"/>
    <w:tmpl w:val="5FB57443"/>
    <w:lvl w:ilvl="0">
      <w:start w:val="1"/>
      <w:numFmt w:val="bullet"/>
      <w:lvlText w:val=""/>
      <w:lvlJc w:val="left"/>
      <w:pPr>
        <w:ind w:left="2160" w:hanging="360"/>
      </w:pPr>
      <w:rPr>
        <w:rFonts w:ascii="Symbol" w:hAnsi="Symbol" w:hint="default"/>
        <w:color w:val="auto"/>
      </w:rPr>
    </w:lvl>
    <w:lvl w:ilvl="1">
      <w:start w:val="1"/>
      <w:numFmt w:val="bullet"/>
      <w:lvlText w:val="o"/>
      <w:lvlJc w:val="left"/>
      <w:pPr>
        <w:ind w:left="2880" w:hanging="360"/>
      </w:pPr>
      <w:rPr>
        <w:rFonts w:ascii="Courier New" w:hAnsi="Courier New" w:cs="Courier New" w:hint="default"/>
      </w:rPr>
    </w:lvl>
    <w:lvl w:ilvl="2">
      <w:start w:val="1"/>
      <w:numFmt w:val="bullet"/>
      <w:lvlText w:val=""/>
      <w:lvlJc w:val="left"/>
      <w:pPr>
        <w:ind w:left="3600" w:hanging="360"/>
      </w:pPr>
      <w:rPr>
        <w:rFonts w:ascii="Wingdings" w:hAnsi="Wingdings" w:hint="default"/>
      </w:rPr>
    </w:lvl>
    <w:lvl w:ilvl="3">
      <w:start w:val="1"/>
      <w:numFmt w:val="bullet"/>
      <w:lvlText w:val=""/>
      <w:lvlJc w:val="left"/>
      <w:pPr>
        <w:ind w:left="4320" w:hanging="360"/>
      </w:pPr>
      <w:rPr>
        <w:rFonts w:ascii="Symbol" w:hAnsi="Symbol" w:hint="default"/>
      </w:rPr>
    </w:lvl>
    <w:lvl w:ilvl="4">
      <w:start w:val="1"/>
      <w:numFmt w:val="bullet"/>
      <w:lvlText w:val="o"/>
      <w:lvlJc w:val="left"/>
      <w:pPr>
        <w:ind w:left="5040" w:hanging="360"/>
      </w:pPr>
      <w:rPr>
        <w:rFonts w:ascii="Courier New" w:hAnsi="Courier New" w:cs="Courier New" w:hint="default"/>
      </w:rPr>
    </w:lvl>
    <w:lvl w:ilvl="5">
      <w:start w:val="1"/>
      <w:numFmt w:val="bullet"/>
      <w:lvlText w:val=""/>
      <w:lvlJc w:val="left"/>
      <w:pPr>
        <w:ind w:left="5760" w:hanging="360"/>
      </w:pPr>
      <w:rPr>
        <w:rFonts w:ascii="Wingdings" w:hAnsi="Wingdings" w:hint="default"/>
      </w:rPr>
    </w:lvl>
    <w:lvl w:ilvl="6">
      <w:start w:val="1"/>
      <w:numFmt w:val="bullet"/>
      <w:lvlText w:val=""/>
      <w:lvlJc w:val="left"/>
      <w:pPr>
        <w:ind w:left="6480" w:hanging="360"/>
      </w:pPr>
      <w:rPr>
        <w:rFonts w:ascii="Symbol" w:hAnsi="Symbol" w:hint="default"/>
      </w:rPr>
    </w:lvl>
    <w:lvl w:ilvl="7">
      <w:start w:val="1"/>
      <w:numFmt w:val="bullet"/>
      <w:lvlText w:val="o"/>
      <w:lvlJc w:val="left"/>
      <w:pPr>
        <w:ind w:left="7200" w:hanging="360"/>
      </w:pPr>
      <w:rPr>
        <w:rFonts w:ascii="Courier New" w:hAnsi="Courier New" w:cs="Courier New" w:hint="default"/>
      </w:rPr>
    </w:lvl>
    <w:lvl w:ilvl="8">
      <w:start w:val="1"/>
      <w:numFmt w:val="bullet"/>
      <w:lvlText w:val=""/>
      <w:lvlJc w:val="left"/>
      <w:pPr>
        <w:ind w:left="7920" w:hanging="360"/>
      </w:pPr>
      <w:rPr>
        <w:rFonts w:ascii="Wingdings" w:hAnsi="Wingdings" w:hint="default"/>
      </w:rPr>
    </w:lvl>
  </w:abstractNum>
  <w:abstractNum w:abstractNumId="28">
    <w:nsid w:val="61A66C40"/>
    <w:multiLevelType w:val="multilevel"/>
    <w:tmpl w:val="61A66C40"/>
    <w:lvl w:ilvl="0">
      <w:numFmt w:val="bullet"/>
      <w:lvlText w:val="-"/>
      <w:lvlJc w:val="left"/>
      <w:pPr>
        <w:ind w:left="720" w:hanging="360"/>
      </w:pPr>
      <w:rPr>
        <w:u w:val="none"/>
      </w:rPr>
    </w:lvl>
    <w:lvl w:ilvl="1">
      <w:start w:val="1"/>
      <w:numFmt w:val="bullet"/>
      <w:lvlText w:val="o"/>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o"/>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o"/>
      <w:lvlJc w:val="left"/>
      <w:pPr>
        <w:ind w:left="5760" w:hanging="360"/>
      </w:pPr>
      <w:rPr>
        <w:u w:val="none"/>
      </w:rPr>
    </w:lvl>
    <w:lvl w:ilvl="8">
      <w:start w:val="1"/>
      <w:numFmt w:val="bullet"/>
      <w:lvlText w:val="▪"/>
      <w:lvlJc w:val="left"/>
      <w:pPr>
        <w:ind w:left="6480" w:hanging="360"/>
      </w:pPr>
      <w:rPr>
        <w:u w:val="none"/>
      </w:rPr>
    </w:lvl>
  </w:abstractNum>
  <w:abstractNum w:abstractNumId="29">
    <w:nsid w:val="624D75CC"/>
    <w:multiLevelType w:val="multilevel"/>
    <w:tmpl w:val="624D75CC"/>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nsid w:val="62DD0579"/>
    <w:multiLevelType w:val="multilevel"/>
    <w:tmpl w:val="62DD0579"/>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nsid w:val="62ED71EC"/>
    <w:multiLevelType w:val="multilevel"/>
    <w:tmpl w:val="62ED71E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2">
    <w:nsid w:val="63FE5FA4"/>
    <w:multiLevelType w:val="multilevel"/>
    <w:tmpl w:val="63FE5FA4"/>
    <w:lvl w:ilvl="0">
      <w:start w:val="1"/>
      <w:numFmt w:val="bullet"/>
      <w:lvlText w:val=""/>
      <w:lvlJc w:val="left"/>
      <w:pPr>
        <w:ind w:left="720" w:hanging="360"/>
      </w:pPr>
      <w:rPr>
        <w:rFonts w:ascii="Symbol" w:hAnsi="Symbol" w:hint="default"/>
        <w:color w:val="auto"/>
      </w:r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nsid w:val="6F3F00B3"/>
    <w:multiLevelType w:val="multilevel"/>
    <w:tmpl w:val="6F3F00B3"/>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4">
    <w:nsid w:val="7A991285"/>
    <w:multiLevelType w:val="multilevel"/>
    <w:tmpl w:val="7A991285"/>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14"/>
  </w:num>
  <w:num w:numId="2">
    <w:abstractNumId w:val="18"/>
  </w:num>
  <w:num w:numId="3">
    <w:abstractNumId w:val="19"/>
  </w:num>
  <w:num w:numId="4">
    <w:abstractNumId w:val="4"/>
  </w:num>
  <w:num w:numId="5">
    <w:abstractNumId w:val="31"/>
  </w:num>
  <w:num w:numId="6">
    <w:abstractNumId w:val="0"/>
  </w:num>
  <w:num w:numId="7">
    <w:abstractNumId w:val="24"/>
  </w:num>
  <w:num w:numId="8">
    <w:abstractNumId w:val="17"/>
  </w:num>
  <w:num w:numId="9">
    <w:abstractNumId w:val="2"/>
  </w:num>
  <w:num w:numId="10">
    <w:abstractNumId w:val="3"/>
  </w:num>
  <w:num w:numId="11">
    <w:abstractNumId w:val="8"/>
  </w:num>
  <w:num w:numId="12">
    <w:abstractNumId w:val="26"/>
  </w:num>
  <w:num w:numId="13">
    <w:abstractNumId w:val="16"/>
  </w:num>
  <w:num w:numId="14">
    <w:abstractNumId w:val="21"/>
  </w:num>
  <w:num w:numId="15">
    <w:abstractNumId w:val="6"/>
  </w:num>
  <w:num w:numId="16">
    <w:abstractNumId w:val="9"/>
  </w:num>
  <w:num w:numId="17">
    <w:abstractNumId w:val="11"/>
  </w:num>
  <w:num w:numId="18">
    <w:abstractNumId w:val="5"/>
  </w:num>
  <w:num w:numId="19">
    <w:abstractNumId w:val="33"/>
  </w:num>
  <w:num w:numId="20">
    <w:abstractNumId w:val="7"/>
  </w:num>
  <w:num w:numId="21">
    <w:abstractNumId w:val="34"/>
  </w:num>
  <w:num w:numId="22">
    <w:abstractNumId w:val="13"/>
  </w:num>
  <w:num w:numId="23">
    <w:abstractNumId w:val="32"/>
  </w:num>
  <w:num w:numId="24">
    <w:abstractNumId w:val="30"/>
  </w:num>
  <w:num w:numId="25">
    <w:abstractNumId w:val="28"/>
  </w:num>
  <w:num w:numId="26">
    <w:abstractNumId w:val="10"/>
  </w:num>
  <w:num w:numId="27">
    <w:abstractNumId w:val="15"/>
  </w:num>
  <w:num w:numId="28">
    <w:abstractNumId w:val="29"/>
  </w:num>
  <w:num w:numId="29">
    <w:abstractNumId w:val="27"/>
  </w:num>
  <w:num w:numId="30">
    <w:abstractNumId w:val="1"/>
  </w:num>
  <w:num w:numId="31">
    <w:abstractNumId w:val="20"/>
  </w:num>
  <w:num w:numId="32">
    <w:abstractNumId w:val="23"/>
  </w:num>
  <w:num w:numId="33">
    <w:abstractNumId w:val="25"/>
  </w:num>
  <w:num w:numId="34">
    <w:abstractNumId w:val="12"/>
  </w:num>
  <w:num w:numId="35">
    <w:abstractNumId w:val="2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hyphenationZone w:val="425"/>
  <w:drawingGridHorizontalSpacing w:val="110"/>
  <w:displayHorizont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rsids>
    <w:rsidRoot w:val="00C07109"/>
    <w:rsid w:val="000561F7"/>
    <w:rsid w:val="000C6978"/>
    <w:rsid w:val="000E038C"/>
    <w:rsid w:val="000F43B7"/>
    <w:rsid w:val="0012318F"/>
    <w:rsid w:val="00137F00"/>
    <w:rsid w:val="0023777C"/>
    <w:rsid w:val="00290C90"/>
    <w:rsid w:val="002B48A6"/>
    <w:rsid w:val="002F3E03"/>
    <w:rsid w:val="00316155"/>
    <w:rsid w:val="00344DBE"/>
    <w:rsid w:val="0038709E"/>
    <w:rsid w:val="0039656C"/>
    <w:rsid w:val="003A5014"/>
    <w:rsid w:val="003E254D"/>
    <w:rsid w:val="00431B82"/>
    <w:rsid w:val="004875F4"/>
    <w:rsid w:val="004C224B"/>
    <w:rsid w:val="004D3FA8"/>
    <w:rsid w:val="004F60AE"/>
    <w:rsid w:val="004F7A55"/>
    <w:rsid w:val="00506CA2"/>
    <w:rsid w:val="005162C7"/>
    <w:rsid w:val="005216BA"/>
    <w:rsid w:val="0057005D"/>
    <w:rsid w:val="005814FE"/>
    <w:rsid w:val="0058740A"/>
    <w:rsid w:val="00595D39"/>
    <w:rsid w:val="005A7CD4"/>
    <w:rsid w:val="005F3E2D"/>
    <w:rsid w:val="0064397C"/>
    <w:rsid w:val="0068387A"/>
    <w:rsid w:val="006A0398"/>
    <w:rsid w:val="006A5B09"/>
    <w:rsid w:val="00741418"/>
    <w:rsid w:val="00751D26"/>
    <w:rsid w:val="007647C4"/>
    <w:rsid w:val="007651BF"/>
    <w:rsid w:val="0077046E"/>
    <w:rsid w:val="007C5115"/>
    <w:rsid w:val="007F5DDB"/>
    <w:rsid w:val="007F7C4F"/>
    <w:rsid w:val="0081259B"/>
    <w:rsid w:val="00842013"/>
    <w:rsid w:val="008772BC"/>
    <w:rsid w:val="008819B7"/>
    <w:rsid w:val="00886BEE"/>
    <w:rsid w:val="00891138"/>
    <w:rsid w:val="00892863"/>
    <w:rsid w:val="008D50AE"/>
    <w:rsid w:val="00900D75"/>
    <w:rsid w:val="00916979"/>
    <w:rsid w:val="00916CC9"/>
    <w:rsid w:val="00945639"/>
    <w:rsid w:val="00967FE1"/>
    <w:rsid w:val="00991EB8"/>
    <w:rsid w:val="009A4C28"/>
    <w:rsid w:val="009B2D9D"/>
    <w:rsid w:val="009E5954"/>
    <w:rsid w:val="00A52842"/>
    <w:rsid w:val="00AD30E8"/>
    <w:rsid w:val="00AF3759"/>
    <w:rsid w:val="00B17A9A"/>
    <w:rsid w:val="00B2461E"/>
    <w:rsid w:val="00B40214"/>
    <w:rsid w:val="00B9291E"/>
    <w:rsid w:val="00BB16DF"/>
    <w:rsid w:val="00C07109"/>
    <w:rsid w:val="00C16BDA"/>
    <w:rsid w:val="00C22D38"/>
    <w:rsid w:val="00C548FA"/>
    <w:rsid w:val="00CC1952"/>
    <w:rsid w:val="00CC49C2"/>
    <w:rsid w:val="00D11019"/>
    <w:rsid w:val="00D179A6"/>
    <w:rsid w:val="00D57D80"/>
    <w:rsid w:val="00E36C81"/>
    <w:rsid w:val="00E636C5"/>
    <w:rsid w:val="00E927CD"/>
    <w:rsid w:val="00E944C2"/>
    <w:rsid w:val="00F5472A"/>
    <w:rsid w:val="00F7666C"/>
    <w:rsid w:val="00F92637"/>
    <w:rsid w:val="00F92D91"/>
    <w:rsid w:val="00F95391"/>
    <w:rsid w:val="00FA4B2D"/>
    <w:rsid w:val="00FD6B4D"/>
    <w:rsid w:val="00FE63C2"/>
    <w:rsid w:val="019E579D"/>
    <w:rsid w:val="02CB5468"/>
    <w:rsid w:val="03B52E3A"/>
    <w:rsid w:val="06E54141"/>
    <w:rsid w:val="0C8F08F3"/>
    <w:rsid w:val="0E556951"/>
    <w:rsid w:val="14A86694"/>
    <w:rsid w:val="14EE3E39"/>
    <w:rsid w:val="184440A3"/>
    <w:rsid w:val="1A0635F7"/>
    <w:rsid w:val="1B644192"/>
    <w:rsid w:val="21155C52"/>
    <w:rsid w:val="234A4F05"/>
    <w:rsid w:val="23641927"/>
    <w:rsid w:val="261E3B99"/>
    <w:rsid w:val="268C1579"/>
    <w:rsid w:val="2AF01CA1"/>
    <w:rsid w:val="2AF933DC"/>
    <w:rsid w:val="2CDE68F4"/>
    <w:rsid w:val="2EA1338D"/>
    <w:rsid w:val="30764553"/>
    <w:rsid w:val="35082B89"/>
    <w:rsid w:val="352E36CB"/>
    <w:rsid w:val="38E43897"/>
    <w:rsid w:val="3A9A5DC9"/>
    <w:rsid w:val="3C885C16"/>
    <w:rsid w:val="3CC92E59"/>
    <w:rsid w:val="4BE033F1"/>
    <w:rsid w:val="4C160D95"/>
    <w:rsid w:val="4D834149"/>
    <w:rsid w:val="4EDB71C6"/>
    <w:rsid w:val="511D09E9"/>
    <w:rsid w:val="517057E9"/>
    <w:rsid w:val="51A40BC1"/>
    <w:rsid w:val="51DC5015"/>
    <w:rsid w:val="55085FAA"/>
    <w:rsid w:val="556B2038"/>
    <w:rsid w:val="57E873AB"/>
    <w:rsid w:val="5DD877F7"/>
    <w:rsid w:val="60205586"/>
    <w:rsid w:val="722B3317"/>
    <w:rsid w:val="742F3B83"/>
    <w:rsid w:val="74BB4D92"/>
    <w:rsid w:val="76B41C87"/>
    <w:rsid w:val="77BD4472"/>
    <w:rsid w:val="77F26A18"/>
    <w:rsid w:val="78023DEF"/>
    <w:rsid w:val="7A5E1DDB"/>
    <w:rsid w:val="7A80523A"/>
    <w:rsid w:val="7B0940E7"/>
    <w:rsid w:val="7C683674"/>
    <w:rsid w:val="7E96266B"/>
    <w:rsid w:val="7FED00E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Calibri"/>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lsdException w:name="heading 2" w:semiHidden="0" w:uiPriority="0" w:unhideWhenUsed="0" w:qFormat="1"/>
    <w:lsdException w:name="heading 3" w:semiHidden="0" w:uiPriority="0" w:unhideWhenUsed="0"/>
    <w:lsdException w:name="heading 4" w:semiHidden="0" w:uiPriority="0" w:unhideWhenUsed="0"/>
    <w:lsdException w:name="heading 5" w:semiHidden="0" w:uiPriority="0" w:unhideWhenUsed="0"/>
    <w:lsdException w:name="heading 6" w:semiHidden="0" w:uiPriority="0" w:unhideWhenUsed="0"/>
    <w:lsdException w:name="heading 7" w:uiPriority="9" w:qFormat="1"/>
    <w:lsdException w:name="heading 8" w:uiPriority="9" w:qFormat="1"/>
    <w:lsdException w:name="heading 9" w:uiPriority="9" w:qFormat="1"/>
    <w:lsdException w:name="toc 1" w:semiHidden="0" w:uiPriority="39"/>
    <w:lsdException w:name="toc 2" w:semiHidden="0" w:uiPriority="39"/>
    <w:lsdException w:name="toc 3" w:semiHidden="0"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0" w:unhideWhenUsed="0"/>
    <w:lsdException w:name="Hyperlink" w:semiHidden="0"/>
    <w:lsdException w:name="Strong" w:semiHidden="0" w:uiPriority="22" w:unhideWhenUsed="0" w:qFormat="1"/>
    <w:lsdException w:name="Emphasis" w:semiHidden="0" w:uiPriority="20" w:unhideWhenUsed="0" w:qFormat="1"/>
    <w:lsdException w:name="Normal Table" w:qFormat="1"/>
    <w:lsdException w:name="Table Grid" w:semiHidden="0" w:uiPriority="39"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lsdException w:name="Quote" w:semiHidden="0" w:unhideWhenUsed="0"/>
    <w:lsdException w:name="Intense Quote" w:semiHidden="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397C"/>
    <w:pPr>
      <w:spacing w:after="160" w:line="259" w:lineRule="auto"/>
    </w:pPr>
    <w:rPr>
      <w:sz w:val="22"/>
      <w:szCs w:val="22"/>
    </w:rPr>
  </w:style>
  <w:style w:type="paragraph" w:styleId="Heading1">
    <w:name w:val="heading 1"/>
    <w:basedOn w:val="Normal1"/>
    <w:next w:val="Normal1"/>
    <w:rsid w:val="00E944C2"/>
    <w:pPr>
      <w:keepNext/>
      <w:keepLines/>
      <w:spacing w:before="240" w:after="0"/>
      <w:ind w:left="360" w:hanging="360"/>
      <w:outlineLvl w:val="0"/>
    </w:pPr>
    <w:rPr>
      <w:rFonts w:ascii="Times New Roman" w:hAnsi="Times New Roman"/>
      <w:b/>
      <w:color w:val="2F5496"/>
      <w:sz w:val="28"/>
      <w:szCs w:val="32"/>
    </w:rPr>
  </w:style>
  <w:style w:type="paragraph" w:styleId="Heading2">
    <w:name w:val="heading 2"/>
    <w:basedOn w:val="Normal1"/>
    <w:next w:val="Normal1"/>
    <w:qFormat/>
    <w:rsid w:val="00E944C2"/>
    <w:pPr>
      <w:keepNext/>
      <w:keepLines/>
      <w:spacing w:before="40" w:after="0"/>
      <w:ind w:left="360" w:hanging="360"/>
      <w:outlineLvl w:val="1"/>
    </w:pPr>
    <w:rPr>
      <w:rFonts w:ascii="Times New Roman" w:hAnsi="Times New Roman"/>
      <w:color w:val="2F5496"/>
      <w:sz w:val="28"/>
      <w:szCs w:val="26"/>
    </w:rPr>
  </w:style>
  <w:style w:type="paragraph" w:styleId="Heading3">
    <w:name w:val="heading 3"/>
    <w:basedOn w:val="Normal1"/>
    <w:next w:val="Normal1"/>
    <w:rsid w:val="00E944C2"/>
    <w:pPr>
      <w:keepNext/>
      <w:keepLines/>
      <w:spacing w:before="40" w:after="0"/>
      <w:ind w:left="360" w:hanging="360"/>
      <w:outlineLvl w:val="2"/>
    </w:pPr>
    <w:rPr>
      <w:rFonts w:ascii="Times New Roman" w:eastAsia="Times New Roman" w:hAnsi="Times New Roman" w:cs="Times New Roman"/>
      <w:b/>
      <w:i/>
      <w:color w:val="1F3863"/>
      <w:sz w:val="24"/>
      <w:szCs w:val="24"/>
    </w:rPr>
  </w:style>
  <w:style w:type="paragraph" w:styleId="Heading4">
    <w:name w:val="heading 4"/>
    <w:basedOn w:val="Normal1"/>
    <w:next w:val="Normal1"/>
    <w:link w:val="Heading4Char"/>
    <w:rsid w:val="00E944C2"/>
    <w:pPr>
      <w:keepNext/>
      <w:keepLines/>
      <w:spacing w:before="40" w:after="0"/>
      <w:ind w:left="2880" w:hanging="360"/>
      <w:outlineLvl w:val="3"/>
    </w:pPr>
    <w:rPr>
      <w:rFonts w:ascii="Times New Roman" w:eastAsia="Times New Roman" w:hAnsi="Times New Roman" w:cs="Times New Roman"/>
      <w:i/>
      <w:color w:val="2F5496"/>
    </w:rPr>
  </w:style>
  <w:style w:type="paragraph" w:styleId="Heading5">
    <w:name w:val="heading 5"/>
    <w:basedOn w:val="Normal1"/>
    <w:next w:val="Normal1"/>
    <w:rsid w:val="00E944C2"/>
    <w:pPr>
      <w:keepNext/>
      <w:keepLines/>
      <w:spacing w:before="40" w:after="0"/>
      <w:ind w:left="3600" w:hanging="360"/>
      <w:outlineLvl w:val="4"/>
    </w:pPr>
    <w:rPr>
      <w:rFonts w:ascii="Times New Roman" w:eastAsia="Times New Roman" w:hAnsi="Times New Roman" w:cs="Times New Roman"/>
      <w:color w:val="2F5496"/>
    </w:rPr>
  </w:style>
  <w:style w:type="paragraph" w:styleId="Heading6">
    <w:name w:val="heading 6"/>
    <w:basedOn w:val="Normal1"/>
    <w:next w:val="Normal1"/>
    <w:rsid w:val="00E944C2"/>
    <w:pPr>
      <w:keepNext/>
      <w:keepLines/>
      <w:spacing w:before="40" w:after="0"/>
      <w:ind w:left="4320" w:hanging="360"/>
      <w:outlineLvl w:val="5"/>
    </w:pPr>
    <w:rPr>
      <w:color w:val="1F386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E944C2"/>
    <w:pPr>
      <w:spacing w:after="160" w:line="259" w:lineRule="auto"/>
    </w:pPr>
    <w:rPr>
      <w:sz w:val="22"/>
      <w:szCs w:val="22"/>
    </w:rPr>
  </w:style>
  <w:style w:type="paragraph" w:styleId="BalloonText">
    <w:name w:val="Balloon Text"/>
    <w:basedOn w:val="Normal"/>
    <w:link w:val="BalloonTextChar"/>
    <w:uiPriority w:val="99"/>
    <w:semiHidden/>
    <w:unhideWhenUsed/>
    <w:rsid w:val="00E944C2"/>
    <w:pPr>
      <w:spacing w:after="0" w:line="240" w:lineRule="auto"/>
    </w:pPr>
    <w:rPr>
      <w:rFonts w:ascii="Tahoma" w:hAnsi="Tahoma" w:cs="Tahoma"/>
      <w:sz w:val="16"/>
      <w:szCs w:val="16"/>
    </w:rPr>
  </w:style>
  <w:style w:type="character" w:styleId="CommentReference">
    <w:name w:val="annotation reference"/>
    <w:basedOn w:val="DefaultParagraphFont"/>
    <w:uiPriority w:val="99"/>
    <w:semiHidden/>
    <w:unhideWhenUsed/>
    <w:rsid w:val="00E944C2"/>
    <w:rPr>
      <w:sz w:val="16"/>
      <w:szCs w:val="16"/>
    </w:rPr>
  </w:style>
  <w:style w:type="paragraph" w:styleId="CommentText">
    <w:name w:val="annotation text"/>
    <w:basedOn w:val="Normal"/>
    <w:link w:val="CommentTextChar"/>
    <w:uiPriority w:val="99"/>
    <w:semiHidden/>
    <w:unhideWhenUsed/>
    <w:rsid w:val="00E944C2"/>
    <w:pPr>
      <w:spacing w:line="240" w:lineRule="auto"/>
    </w:pPr>
    <w:rPr>
      <w:sz w:val="20"/>
      <w:szCs w:val="20"/>
    </w:rPr>
  </w:style>
  <w:style w:type="paragraph" w:styleId="CommentSubject">
    <w:name w:val="annotation subject"/>
    <w:basedOn w:val="CommentText"/>
    <w:next w:val="CommentText"/>
    <w:link w:val="CommentSubjectChar"/>
    <w:uiPriority w:val="99"/>
    <w:semiHidden/>
    <w:unhideWhenUsed/>
    <w:rsid w:val="00E944C2"/>
    <w:rPr>
      <w:b/>
      <w:bCs/>
    </w:rPr>
  </w:style>
  <w:style w:type="character" w:styleId="Hyperlink">
    <w:name w:val="Hyperlink"/>
    <w:basedOn w:val="DefaultParagraphFont"/>
    <w:uiPriority w:val="99"/>
    <w:unhideWhenUsed/>
    <w:rsid w:val="00E944C2"/>
    <w:rPr>
      <w:color w:val="0000FF" w:themeColor="hyperlink"/>
      <w:u w:val="single"/>
    </w:rPr>
  </w:style>
  <w:style w:type="paragraph" w:styleId="Subtitle">
    <w:name w:val="Subtitle"/>
    <w:basedOn w:val="Normal1"/>
    <w:next w:val="Normal1"/>
    <w:rsid w:val="00E944C2"/>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E944C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Title">
    <w:name w:val="Title"/>
    <w:basedOn w:val="Normal1"/>
    <w:next w:val="Normal1"/>
    <w:qFormat/>
    <w:rsid w:val="00E944C2"/>
    <w:pPr>
      <w:keepNext/>
      <w:keepLines/>
      <w:spacing w:before="480" w:after="120"/>
    </w:pPr>
    <w:rPr>
      <w:b/>
      <w:color w:val="000000"/>
      <w:sz w:val="72"/>
      <w:szCs w:val="72"/>
    </w:rPr>
  </w:style>
  <w:style w:type="paragraph" w:styleId="TOC1">
    <w:name w:val="toc 1"/>
    <w:basedOn w:val="Normal"/>
    <w:next w:val="Normal"/>
    <w:autoRedefine/>
    <w:uiPriority w:val="39"/>
    <w:unhideWhenUsed/>
    <w:rsid w:val="00E944C2"/>
    <w:pPr>
      <w:spacing w:after="100"/>
    </w:pPr>
  </w:style>
  <w:style w:type="paragraph" w:styleId="TOC2">
    <w:name w:val="toc 2"/>
    <w:basedOn w:val="Normal"/>
    <w:next w:val="Normal"/>
    <w:autoRedefine/>
    <w:uiPriority w:val="39"/>
    <w:unhideWhenUsed/>
    <w:rsid w:val="00E944C2"/>
    <w:pPr>
      <w:spacing w:after="100"/>
      <w:ind w:left="220"/>
    </w:pPr>
  </w:style>
  <w:style w:type="paragraph" w:styleId="TOC3">
    <w:name w:val="toc 3"/>
    <w:basedOn w:val="Normal"/>
    <w:next w:val="Normal"/>
    <w:autoRedefine/>
    <w:uiPriority w:val="39"/>
    <w:unhideWhenUsed/>
    <w:rsid w:val="00E944C2"/>
    <w:pPr>
      <w:spacing w:after="100"/>
      <w:ind w:left="440"/>
    </w:pPr>
  </w:style>
  <w:style w:type="character" w:customStyle="1" w:styleId="Heading4Char">
    <w:name w:val="Heading 4 Char"/>
    <w:basedOn w:val="DefaultParagraphFont"/>
    <w:link w:val="Heading4"/>
    <w:rsid w:val="00E944C2"/>
    <w:rPr>
      <w:rFonts w:ascii="Times New Roman" w:eastAsia="Times New Roman" w:hAnsi="Times New Roman" w:cs="Times New Roman"/>
      <w:i/>
      <w:color w:val="2F5496"/>
    </w:rPr>
  </w:style>
  <w:style w:type="table" w:customStyle="1" w:styleId="TableNormal0">
    <w:name w:val="TableNormal"/>
    <w:rsid w:val="00E944C2"/>
    <w:tblPr>
      <w:tblCellMar>
        <w:top w:w="100" w:type="dxa"/>
        <w:left w:w="100" w:type="dxa"/>
        <w:bottom w:w="100" w:type="dxa"/>
        <w:right w:w="100" w:type="dxa"/>
      </w:tblCellMar>
    </w:tblPr>
  </w:style>
  <w:style w:type="table" w:customStyle="1" w:styleId="77">
    <w:name w:val="77"/>
    <w:basedOn w:val="TableNormal0"/>
    <w:qFormat/>
    <w:rsid w:val="00E944C2"/>
    <w:tblPr>
      <w:tblCellMar>
        <w:top w:w="0" w:type="dxa"/>
        <w:left w:w="115" w:type="dxa"/>
        <w:bottom w:w="0" w:type="dxa"/>
        <w:right w:w="115" w:type="dxa"/>
      </w:tblCellMar>
    </w:tblPr>
  </w:style>
  <w:style w:type="table" w:customStyle="1" w:styleId="76">
    <w:name w:val="76"/>
    <w:basedOn w:val="TableNormal0"/>
    <w:qFormat/>
    <w:rsid w:val="00E944C2"/>
    <w:tblPr>
      <w:tblCellMar>
        <w:top w:w="0" w:type="dxa"/>
        <w:left w:w="115" w:type="dxa"/>
        <w:bottom w:w="0" w:type="dxa"/>
        <w:right w:w="115" w:type="dxa"/>
      </w:tblCellMar>
    </w:tblPr>
  </w:style>
  <w:style w:type="table" w:customStyle="1" w:styleId="75">
    <w:name w:val="75"/>
    <w:basedOn w:val="TableNormal0"/>
    <w:qFormat/>
    <w:rsid w:val="00E944C2"/>
    <w:tblPr>
      <w:tblCellMar>
        <w:top w:w="0" w:type="dxa"/>
        <w:left w:w="115" w:type="dxa"/>
        <w:bottom w:w="0" w:type="dxa"/>
        <w:right w:w="115" w:type="dxa"/>
      </w:tblCellMar>
    </w:tblPr>
  </w:style>
  <w:style w:type="table" w:customStyle="1" w:styleId="74">
    <w:name w:val="74"/>
    <w:basedOn w:val="TableNormal0"/>
    <w:qFormat/>
    <w:rsid w:val="00E944C2"/>
    <w:tblPr>
      <w:tblCellMar>
        <w:top w:w="0" w:type="dxa"/>
        <w:left w:w="115" w:type="dxa"/>
        <w:bottom w:w="0" w:type="dxa"/>
        <w:right w:w="115" w:type="dxa"/>
      </w:tblCellMar>
    </w:tblPr>
  </w:style>
  <w:style w:type="table" w:customStyle="1" w:styleId="73">
    <w:name w:val="73"/>
    <w:basedOn w:val="TableNormal0"/>
    <w:qFormat/>
    <w:rsid w:val="00E944C2"/>
    <w:tblPr>
      <w:tblCellMar>
        <w:top w:w="0" w:type="dxa"/>
        <w:left w:w="115" w:type="dxa"/>
        <w:bottom w:w="0" w:type="dxa"/>
        <w:right w:w="115" w:type="dxa"/>
      </w:tblCellMar>
    </w:tblPr>
  </w:style>
  <w:style w:type="table" w:customStyle="1" w:styleId="72">
    <w:name w:val="72"/>
    <w:basedOn w:val="TableNormal0"/>
    <w:qFormat/>
    <w:rsid w:val="00E944C2"/>
    <w:tblPr>
      <w:tblCellMar>
        <w:top w:w="0" w:type="dxa"/>
        <w:left w:w="115" w:type="dxa"/>
        <w:bottom w:w="0" w:type="dxa"/>
        <w:right w:w="115" w:type="dxa"/>
      </w:tblCellMar>
    </w:tblPr>
  </w:style>
  <w:style w:type="table" w:customStyle="1" w:styleId="71">
    <w:name w:val="71"/>
    <w:basedOn w:val="TableNormal0"/>
    <w:qFormat/>
    <w:rsid w:val="00E944C2"/>
    <w:tblPr>
      <w:tblCellMar>
        <w:top w:w="0" w:type="dxa"/>
        <w:left w:w="115" w:type="dxa"/>
        <w:bottom w:w="0" w:type="dxa"/>
        <w:right w:w="115" w:type="dxa"/>
      </w:tblCellMar>
    </w:tblPr>
  </w:style>
  <w:style w:type="table" w:customStyle="1" w:styleId="70">
    <w:name w:val="70"/>
    <w:basedOn w:val="TableNormal0"/>
    <w:qFormat/>
    <w:rsid w:val="00E944C2"/>
    <w:tblPr>
      <w:tblCellMar>
        <w:top w:w="0" w:type="dxa"/>
        <w:left w:w="115" w:type="dxa"/>
        <w:bottom w:w="0" w:type="dxa"/>
        <w:right w:w="115" w:type="dxa"/>
      </w:tblCellMar>
    </w:tblPr>
  </w:style>
  <w:style w:type="table" w:customStyle="1" w:styleId="69">
    <w:name w:val="69"/>
    <w:basedOn w:val="TableNormal0"/>
    <w:qFormat/>
    <w:rsid w:val="00E944C2"/>
    <w:tblPr>
      <w:tblCellMar>
        <w:top w:w="0" w:type="dxa"/>
        <w:left w:w="115" w:type="dxa"/>
        <w:bottom w:w="0" w:type="dxa"/>
        <w:right w:w="115" w:type="dxa"/>
      </w:tblCellMar>
    </w:tblPr>
  </w:style>
  <w:style w:type="table" w:customStyle="1" w:styleId="68">
    <w:name w:val="68"/>
    <w:basedOn w:val="TableNormal0"/>
    <w:qFormat/>
    <w:rsid w:val="00E944C2"/>
    <w:tblPr>
      <w:tblCellMar>
        <w:top w:w="100" w:type="dxa"/>
        <w:left w:w="100" w:type="dxa"/>
        <w:bottom w:w="100" w:type="dxa"/>
        <w:right w:w="100" w:type="dxa"/>
      </w:tblCellMar>
    </w:tblPr>
  </w:style>
  <w:style w:type="table" w:customStyle="1" w:styleId="67">
    <w:name w:val="67"/>
    <w:basedOn w:val="TableNormal0"/>
    <w:qFormat/>
    <w:rsid w:val="00E944C2"/>
    <w:tblPr>
      <w:tblCellMar>
        <w:top w:w="100" w:type="dxa"/>
        <w:left w:w="100" w:type="dxa"/>
        <w:bottom w:w="100" w:type="dxa"/>
        <w:right w:w="100" w:type="dxa"/>
      </w:tblCellMar>
    </w:tblPr>
  </w:style>
  <w:style w:type="table" w:customStyle="1" w:styleId="66">
    <w:name w:val="66"/>
    <w:basedOn w:val="TableNormal0"/>
    <w:qFormat/>
    <w:rsid w:val="00E944C2"/>
    <w:tblPr>
      <w:tblCellMar>
        <w:top w:w="0" w:type="dxa"/>
        <w:left w:w="0" w:type="dxa"/>
        <w:bottom w:w="0" w:type="dxa"/>
        <w:right w:w="0" w:type="dxa"/>
      </w:tblCellMar>
    </w:tblPr>
  </w:style>
  <w:style w:type="table" w:customStyle="1" w:styleId="65">
    <w:name w:val="65"/>
    <w:basedOn w:val="TableNormal0"/>
    <w:qFormat/>
    <w:rsid w:val="00E944C2"/>
    <w:tblPr>
      <w:tblCellMar>
        <w:top w:w="100" w:type="dxa"/>
        <w:left w:w="100" w:type="dxa"/>
        <w:bottom w:w="100" w:type="dxa"/>
        <w:right w:w="100" w:type="dxa"/>
      </w:tblCellMar>
    </w:tblPr>
  </w:style>
  <w:style w:type="table" w:customStyle="1" w:styleId="64">
    <w:name w:val="64"/>
    <w:basedOn w:val="TableNormal0"/>
    <w:qFormat/>
    <w:rsid w:val="00E944C2"/>
    <w:tblPr>
      <w:tblCellMar>
        <w:top w:w="100" w:type="dxa"/>
        <w:left w:w="100" w:type="dxa"/>
        <w:bottom w:w="100" w:type="dxa"/>
        <w:right w:w="100" w:type="dxa"/>
      </w:tblCellMar>
    </w:tblPr>
  </w:style>
  <w:style w:type="table" w:customStyle="1" w:styleId="63">
    <w:name w:val="63"/>
    <w:basedOn w:val="TableNormal0"/>
    <w:qFormat/>
    <w:rsid w:val="00E944C2"/>
    <w:tblPr>
      <w:tblCellMar>
        <w:top w:w="100" w:type="dxa"/>
        <w:left w:w="100" w:type="dxa"/>
        <w:bottom w:w="100" w:type="dxa"/>
        <w:right w:w="100" w:type="dxa"/>
      </w:tblCellMar>
    </w:tblPr>
  </w:style>
  <w:style w:type="table" w:customStyle="1" w:styleId="62">
    <w:name w:val="62"/>
    <w:basedOn w:val="TableNormal0"/>
    <w:qFormat/>
    <w:rsid w:val="00E944C2"/>
    <w:tblPr>
      <w:tblCellMar>
        <w:top w:w="100" w:type="dxa"/>
        <w:left w:w="100" w:type="dxa"/>
        <w:bottom w:w="100" w:type="dxa"/>
        <w:right w:w="100" w:type="dxa"/>
      </w:tblCellMar>
    </w:tblPr>
  </w:style>
  <w:style w:type="table" w:customStyle="1" w:styleId="61">
    <w:name w:val="61"/>
    <w:basedOn w:val="TableNormal0"/>
    <w:qFormat/>
    <w:rsid w:val="00E944C2"/>
    <w:tblPr>
      <w:tblCellMar>
        <w:top w:w="100" w:type="dxa"/>
        <w:left w:w="100" w:type="dxa"/>
        <w:bottom w:w="100" w:type="dxa"/>
        <w:right w:w="100" w:type="dxa"/>
      </w:tblCellMar>
    </w:tblPr>
  </w:style>
  <w:style w:type="table" w:customStyle="1" w:styleId="60">
    <w:name w:val="60"/>
    <w:basedOn w:val="TableNormal0"/>
    <w:qFormat/>
    <w:rsid w:val="00E944C2"/>
    <w:tblPr>
      <w:tblCellMar>
        <w:top w:w="100" w:type="dxa"/>
        <w:left w:w="100" w:type="dxa"/>
        <w:bottom w:w="100" w:type="dxa"/>
        <w:right w:w="100" w:type="dxa"/>
      </w:tblCellMar>
    </w:tblPr>
  </w:style>
  <w:style w:type="table" w:customStyle="1" w:styleId="59">
    <w:name w:val="59"/>
    <w:basedOn w:val="TableNormal0"/>
    <w:qFormat/>
    <w:rsid w:val="00E944C2"/>
    <w:tblPr>
      <w:tblCellMar>
        <w:top w:w="100" w:type="dxa"/>
        <w:left w:w="100" w:type="dxa"/>
        <w:bottom w:w="100" w:type="dxa"/>
        <w:right w:w="100" w:type="dxa"/>
      </w:tblCellMar>
    </w:tblPr>
  </w:style>
  <w:style w:type="table" w:customStyle="1" w:styleId="58">
    <w:name w:val="58"/>
    <w:basedOn w:val="TableNormal0"/>
    <w:qFormat/>
    <w:rsid w:val="00E944C2"/>
    <w:tblPr>
      <w:tblCellMar>
        <w:top w:w="0" w:type="dxa"/>
        <w:left w:w="108" w:type="dxa"/>
        <w:bottom w:w="0" w:type="dxa"/>
        <w:right w:w="108" w:type="dxa"/>
      </w:tblCellMar>
    </w:tblPr>
  </w:style>
  <w:style w:type="table" w:customStyle="1" w:styleId="57">
    <w:name w:val="57"/>
    <w:basedOn w:val="TableNormal0"/>
    <w:qFormat/>
    <w:rsid w:val="00E944C2"/>
    <w:tblPr>
      <w:tblCellMar>
        <w:top w:w="0" w:type="dxa"/>
        <w:left w:w="108" w:type="dxa"/>
        <w:bottom w:w="0" w:type="dxa"/>
        <w:right w:w="108" w:type="dxa"/>
      </w:tblCellMar>
    </w:tblPr>
  </w:style>
  <w:style w:type="table" w:customStyle="1" w:styleId="56">
    <w:name w:val="56"/>
    <w:basedOn w:val="TableNormal0"/>
    <w:qFormat/>
    <w:rsid w:val="00E944C2"/>
    <w:tblPr>
      <w:tblCellMar>
        <w:top w:w="0" w:type="dxa"/>
        <w:left w:w="115" w:type="dxa"/>
        <w:bottom w:w="0" w:type="dxa"/>
        <w:right w:w="115" w:type="dxa"/>
      </w:tblCellMar>
    </w:tblPr>
  </w:style>
  <w:style w:type="table" w:customStyle="1" w:styleId="55">
    <w:name w:val="55"/>
    <w:basedOn w:val="TableNormal0"/>
    <w:qFormat/>
    <w:rsid w:val="00E944C2"/>
    <w:tblPr>
      <w:tblCellMar>
        <w:top w:w="0" w:type="dxa"/>
        <w:left w:w="115" w:type="dxa"/>
        <w:bottom w:w="0" w:type="dxa"/>
        <w:right w:w="115" w:type="dxa"/>
      </w:tblCellMar>
    </w:tblPr>
  </w:style>
  <w:style w:type="table" w:customStyle="1" w:styleId="54">
    <w:name w:val="54"/>
    <w:basedOn w:val="TableNormal0"/>
    <w:qFormat/>
    <w:rsid w:val="00E944C2"/>
    <w:tblPr>
      <w:tblCellMar>
        <w:top w:w="0" w:type="dxa"/>
        <w:left w:w="115" w:type="dxa"/>
        <w:bottom w:w="0" w:type="dxa"/>
        <w:right w:w="115" w:type="dxa"/>
      </w:tblCellMar>
    </w:tblPr>
  </w:style>
  <w:style w:type="table" w:customStyle="1" w:styleId="53">
    <w:name w:val="53"/>
    <w:basedOn w:val="TableNormal0"/>
    <w:qFormat/>
    <w:rsid w:val="00E944C2"/>
    <w:tblPr>
      <w:tblCellMar>
        <w:top w:w="0" w:type="dxa"/>
        <w:left w:w="115" w:type="dxa"/>
        <w:bottom w:w="0" w:type="dxa"/>
        <w:right w:w="115" w:type="dxa"/>
      </w:tblCellMar>
    </w:tblPr>
  </w:style>
  <w:style w:type="table" w:customStyle="1" w:styleId="52">
    <w:name w:val="52"/>
    <w:basedOn w:val="TableNormal0"/>
    <w:qFormat/>
    <w:rsid w:val="00E944C2"/>
    <w:tblPr>
      <w:tblCellMar>
        <w:top w:w="0" w:type="dxa"/>
        <w:left w:w="115" w:type="dxa"/>
        <w:bottom w:w="0" w:type="dxa"/>
        <w:right w:w="115" w:type="dxa"/>
      </w:tblCellMar>
    </w:tblPr>
  </w:style>
  <w:style w:type="table" w:customStyle="1" w:styleId="51">
    <w:name w:val="51"/>
    <w:basedOn w:val="TableNormal0"/>
    <w:qFormat/>
    <w:rsid w:val="00E944C2"/>
    <w:tblPr>
      <w:tblCellMar>
        <w:top w:w="0" w:type="dxa"/>
        <w:left w:w="115" w:type="dxa"/>
        <w:bottom w:w="0" w:type="dxa"/>
        <w:right w:w="115" w:type="dxa"/>
      </w:tblCellMar>
    </w:tblPr>
  </w:style>
  <w:style w:type="table" w:customStyle="1" w:styleId="50">
    <w:name w:val="50"/>
    <w:basedOn w:val="TableNormal0"/>
    <w:qFormat/>
    <w:rsid w:val="00E944C2"/>
    <w:tblPr>
      <w:tblCellMar>
        <w:top w:w="15" w:type="dxa"/>
        <w:left w:w="15" w:type="dxa"/>
        <w:bottom w:w="15" w:type="dxa"/>
        <w:right w:w="15" w:type="dxa"/>
      </w:tblCellMar>
    </w:tblPr>
  </w:style>
  <w:style w:type="table" w:customStyle="1" w:styleId="49">
    <w:name w:val="49"/>
    <w:basedOn w:val="TableNormal0"/>
    <w:qFormat/>
    <w:rsid w:val="00E944C2"/>
    <w:tblPr>
      <w:tblCellMar>
        <w:top w:w="15" w:type="dxa"/>
        <w:left w:w="15" w:type="dxa"/>
        <w:bottom w:w="15" w:type="dxa"/>
        <w:right w:w="15" w:type="dxa"/>
      </w:tblCellMar>
    </w:tblPr>
  </w:style>
  <w:style w:type="table" w:customStyle="1" w:styleId="48">
    <w:name w:val="48"/>
    <w:basedOn w:val="TableNormal0"/>
    <w:qFormat/>
    <w:rsid w:val="00E944C2"/>
    <w:tblPr>
      <w:tblCellMar>
        <w:top w:w="15" w:type="dxa"/>
        <w:left w:w="15" w:type="dxa"/>
        <w:bottom w:w="15" w:type="dxa"/>
        <w:right w:w="15" w:type="dxa"/>
      </w:tblCellMar>
    </w:tblPr>
  </w:style>
  <w:style w:type="table" w:customStyle="1" w:styleId="47">
    <w:name w:val="47"/>
    <w:basedOn w:val="TableNormal0"/>
    <w:qFormat/>
    <w:rsid w:val="00E944C2"/>
    <w:tblPr>
      <w:tblCellMar>
        <w:top w:w="15" w:type="dxa"/>
        <w:left w:w="15" w:type="dxa"/>
        <w:bottom w:w="15" w:type="dxa"/>
        <w:right w:w="15" w:type="dxa"/>
      </w:tblCellMar>
    </w:tblPr>
  </w:style>
  <w:style w:type="table" w:customStyle="1" w:styleId="46">
    <w:name w:val="46"/>
    <w:basedOn w:val="TableNormal0"/>
    <w:qFormat/>
    <w:rsid w:val="00E944C2"/>
    <w:tblPr>
      <w:tblCellMar>
        <w:top w:w="15" w:type="dxa"/>
        <w:left w:w="15" w:type="dxa"/>
        <w:bottom w:w="15" w:type="dxa"/>
        <w:right w:w="15" w:type="dxa"/>
      </w:tblCellMar>
    </w:tblPr>
  </w:style>
  <w:style w:type="table" w:customStyle="1" w:styleId="45">
    <w:name w:val="45"/>
    <w:basedOn w:val="TableNormal0"/>
    <w:qFormat/>
    <w:rsid w:val="00E944C2"/>
    <w:tblPr>
      <w:tblCellMar>
        <w:top w:w="15" w:type="dxa"/>
        <w:left w:w="15" w:type="dxa"/>
        <w:bottom w:w="15" w:type="dxa"/>
        <w:right w:w="15" w:type="dxa"/>
      </w:tblCellMar>
    </w:tblPr>
  </w:style>
  <w:style w:type="table" w:customStyle="1" w:styleId="44">
    <w:name w:val="44"/>
    <w:basedOn w:val="TableNormal0"/>
    <w:qFormat/>
    <w:rsid w:val="00E944C2"/>
    <w:tblPr>
      <w:tblCellMar>
        <w:top w:w="15" w:type="dxa"/>
        <w:left w:w="15" w:type="dxa"/>
        <w:bottom w:w="15" w:type="dxa"/>
        <w:right w:w="15" w:type="dxa"/>
      </w:tblCellMar>
    </w:tblPr>
  </w:style>
  <w:style w:type="table" w:customStyle="1" w:styleId="43">
    <w:name w:val="43"/>
    <w:basedOn w:val="TableNormal0"/>
    <w:qFormat/>
    <w:rsid w:val="00E944C2"/>
    <w:tblPr>
      <w:tblCellMar>
        <w:top w:w="15" w:type="dxa"/>
        <w:left w:w="15" w:type="dxa"/>
        <w:bottom w:w="15" w:type="dxa"/>
        <w:right w:w="15" w:type="dxa"/>
      </w:tblCellMar>
    </w:tblPr>
  </w:style>
  <w:style w:type="table" w:customStyle="1" w:styleId="42">
    <w:name w:val="42"/>
    <w:basedOn w:val="TableNormal0"/>
    <w:qFormat/>
    <w:rsid w:val="00E944C2"/>
    <w:tblPr>
      <w:tblCellMar>
        <w:top w:w="15" w:type="dxa"/>
        <w:left w:w="15" w:type="dxa"/>
        <w:bottom w:w="15" w:type="dxa"/>
        <w:right w:w="15" w:type="dxa"/>
      </w:tblCellMar>
    </w:tblPr>
  </w:style>
  <w:style w:type="table" w:customStyle="1" w:styleId="41">
    <w:name w:val="41"/>
    <w:basedOn w:val="TableNormal0"/>
    <w:qFormat/>
    <w:rsid w:val="00E944C2"/>
    <w:tblPr>
      <w:tblCellMar>
        <w:top w:w="15" w:type="dxa"/>
        <w:left w:w="15" w:type="dxa"/>
        <w:bottom w:w="15" w:type="dxa"/>
        <w:right w:w="15" w:type="dxa"/>
      </w:tblCellMar>
    </w:tblPr>
  </w:style>
  <w:style w:type="table" w:customStyle="1" w:styleId="40">
    <w:name w:val="40"/>
    <w:basedOn w:val="TableNormal0"/>
    <w:qFormat/>
    <w:rsid w:val="00E944C2"/>
    <w:tblPr>
      <w:tblCellMar>
        <w:top w:w="15" w:type="dxa"/>
        <w:left w:w="15" w:type="dxa"/>
        <w:bottom w:w="15" w:type="dxa"/>
        <w:right w:w="15" w:type="dxa"/>
      </w:tblCellMar>
    </w:tblPr>
  </w:style>
  <w:style w:type="table" w:customStyle="1" w:styleId="39">
    <w:name w:val="39"/>
    <w:basedOn w:val="TableNormal0"/>
    <w:qFormat/>
    <w:rsid w:val="00E944C2"/>
    <w:tblPr>
      <w:tblCellMar>
        <w:top w:w="15" w:type="dxa"/>
        <w:left w:w="15" w:type="dxa"/>
        <w:bottom w:w="15" w:type="dxa"/>
        <w:right w:w="15" w:type="dxa"/>
      </w:tblCellMar>
    </w:tblPr>
  </w:style>
  <w:style w:type="table" w:customStyle="1" w:styleId="38">
    <w:name w:val="38"/>
    <w:basedOn w:val="TableNormal0"/>
    <w:qFormat/>
    <w:rsid w:val="00E944C2"/>
    <w:tblPr>
      <w:tblCellMar>
        <w:top w:w="15" w:type="dxa"/>
        <w:left w:w="15" w:type="dxa"/>
        <w:bottom w:w="15" w:type="dxa"/>
        <w:right w:w="15" w:type="dxa"/>
      </w:tblCellMar>
    </w:tblPr>
  </w:style>
  <w:style w:type="table" w:customStyle="1" w:styleId="37">
    <w:name w:val="37"/>
    <w:basedOn w:val="TableNormal0"/>
    <w:qFormat/>
    <w:rsid w:val="00E944C2"/>
    <w:tblPr>
      <w:tblCellMar>
        <w:top w:w="15" w:type="dxa"/>
        <w:left w:w="15" w:type="dxa"/>
        <w:bottom w:w="15" w:type="dxa"/>
        <w:right w:w="15" w:type="dxa"/>
      </w:tblCellMar>
    </w:tblPr>
  </w:style>
  <w:style w:type="table" w:customStyle="1" w:styleId="36">
    <w:name w:val="36"/>
    <w:basedOn w:val="TableNormal0"/>
    <w:qFormat/>
    <w:rsid w:val="00E944C2"/>
    <w:tblPr>
      <w:tblCellMar>
        <w:top w:w="15" w:type="dxa"/>
        <w:left w:w="15" w:type="dxa"/>
        <w:bottom w:w="15" w:type="dxa"/>
        <w:right w:w="15" w:type="dxa"/>
      </w:tblCellMar>
    </w:tblPr>
  </w:style>
  <w:style w:type="table" w:customStyle="1" w:styleId="35">
    <w:name w:val="35"/>
    <w:basedOn w:val="TableNormal0"/>
    <w:qFormat/>
    <w:rsid w:val="00E944C2"/>
    <w:tblPr>
      <w:tblCellMar>
        <w:top w:w="15" w:type="dxa"/>
        <w:left w:w="15" w:type="dxa"/>
        <w:bottom w:w="15" w:type="dxa"/>
        <w:right w:w="15" w:type="dxa"/>
      </w:tblCellMar>
    </w:tblPr>
  </w:style>
  <w:style w:type="table" w:customStyle="1" w:styleId="34">
    <w:name w:val="34"/>
    <w:basedOn w:val="TableNormal0"/>
    <w:qFormat/>
    <w:rsid w:val="00E944C2"/>
    <w:tblPr>
      <w:tblCellMar>
        <w:top w:w="15" w:type="dxa"/>
        <w:left w:w="15" w:type="dxa"/>
        <w:bottom w:w="15" w:type="dxa"/>
        <w:right w:w="15" w:type="dxa"/>
      </w:tblCellMar>
    </w:tblPr>
  </w:style>
  <w:style w:type="table" w:customStyle="1" w:styleId="33">
    <w:name w:val="33"/>
    <w:basedOn w:val="TableNormal0"/>
    <w:qFormat/>
    <w:rsid w:val="00E944C2"/>
    <w:tblPr>
      <w:tblCellMar>
        <w:top w:w="15" w:type="dxa"/>
        <w:left w:w="15" w:type="dxa"/>
        <w:bottom w:w="15" w:type="dxa"/>
        <w:right w:w="15" w:type="dxa"/>
      </w:tblCellMar>
    </w:tblPr>
  </w:style>
  <w:style w:type="table" w:customStyle="1" w:styleId="32">
    <w:name w:val="32"/>
    <w:basedOn w:val="TableNormal0"/>
    <w:qFormat/>
    <w:rsid w:val="00E944C2"/>
    <w:tblPr>
      <w:tblCellMar>
        <w:top w:w="15" w:type="dxa"/>
        <w:left w:w="15" w:type="dxa"/>
        <w:bottom w:w="15" w:type="dxa"/>
        <w:right w:w="15" w:type="dxa"/>
      </w:tblCellMar>
    </w:tblPr>
  </w:style>
  <w:style w:type="table" w:customStyle="1" w:styleId="31">
    <w:name w:val="31"/>
    <w:basedOn w:val="TableNormal0"/>
    <w:qFormat/>
    <w:rsid w:val="00E944C2"/>
    <w:tblPr>
      <w:tblCellMar>
        <w:top w:w="15" w:type="dxa"/>
        <w:left w:w="15" w:type="dxa"/>
        <w:bottom w:w="15" w:type="dxa"/>
        <w:right w:w="15" w:type="dxa"/>
      </w:tblCellMar>
    </w:tblPr>
  </w:style>
  <w:style w:type="table" w:customStyle="1" w:styleId="30">
    <w:name w:val="30"/>
    <w:basedOn w:val="TableNormal0"/>
    <w:qFormat/>
    <w:rsid w:val="00E944C2"/>
    <w:tblPr>
      <w:tblCellMar>
        <w:top w:w="15" w:type="dxa"/>
        <w:left w:w="15" w:type="dxa"/>
        <w:bottom w:w="15" w:type="dxa"/>
        <w:right w:w="15" w:type="dxa"/>
      </w:tblCellMar>
    </w:tblPr>
  </w:style>
  <w:style w:type="table" w:customStyle="1" w:styleId="29">
    <w:name w:val="29"/>
    <w:basedOn w:val="TableNormal0"/>
    <w:qFormat/>
    <w:rsid w:val="00E944C2"/>
    <w:tblPr>
      <w:tblCellMar>
        <w:top w:w="100" w:type="dxa"/>
        <w:left w:w="100" w:type="dxa"/>
        <w:bottom w:w="100" w:type="dxa"/>
        <w:right w:w="100" w:type="dxa"/>
      </w:tblCellMar>
    </w:tblPr>
  </w:style>
  <w:style w:type="table" w:customStyle="1" w:styleId="28">
    <w:name w:val="28"/>
    <w:basedOn w:val="TableNormal0"/>
    <w:qFormat/>
    <w:rsid w:val="00E944C2"/>
    <w:tblPr>
      <w:tblCellMar>
        <w:top w:w="100" w:type="dxa"/>
        <w:left w:w="100" w:type="dxa"/>
        <w:bottom w:w="100" w:type="dxa"/>
        <w:right w:w="100" w:type="dxa"/>
      </w:tblCellMar>
    </w:tblPr>
  </w:style>
  <w:style w:type="table" w:customStyle="1" w:styleId="27">
    <w:name w:val="27"/>
    <w:basedOn w:val="TableNormal0"/>
    <w:qFormat/>
    <w:rsid w:val="00E944C2"/>
    <w:tblPr>
      <w:tblCellMar>
        <w:top w:w="100" w:type="dxa"/>
        <w:left w:w="100" w:type="dxa"/>
        <w:bottom w:w="100" w:type="dxa"/>
        <w:right w:w="100" w:type="dxa"/>
      </w:tblCellMar>
    </w:tblPr>
  </w:style>
  <w:style w:type="table" w:customStyle="1" w:styleId="26">
    <w:name w:val="26"/>
    <w:basedOn w:val="TableNormal0"/>
    <w:qFormat/>
    <w:rsid w:val="00E944C2"/>
    <w:tblPr>
      <w:tblCellMar>
        <w:top w:w="100" w:type="dxa"/>
        <w:left w:w="100" w:type="dxa"/>
        <w:bottom w:w="100" w:type="dxa"/>
        <w:right w:w="100" w:type="dxa"/>
      </w:tblCellMar>
    </w:tblPr>
  </w:style>
  <w:style w:type="table" w:customStyle="1" w:styleId="25">
    <w:name w:val="25"/>
    <w:basedOn w:val="TableNormal0"/>
    <w:qFormat/>
    <w:rsid w:val="00E944C2"/>
    <w:tblPr>
      <w:tblCellMar>
        <w:top w:w="100" w:type="dxa"/>
        <w:left w:w="100" w:type="dxa"/>
        <w:bottom w:w="100" w:type="dxa"/>
        <w:right w:w="100" w:type="dxa"/>
      </w:tblCellMar>
    </w:tblPr>
  </w:style>
  <w:style w:type="table" w:customStyle="1" w:styleId="24">
    <w:name w:val="24"/>
    <w:basedOn w:val="TableNormal0"/>
    <w:qFormat/>
    <w:rsid w:val="00E944C2"/>
    <w:tblPr>
      <w:tblCellMar>
        <w:top w:w="100" w:type="dxa"/>
        <w:left w:w="100" w:type="dxa"/>
        <w:bottom w:w="100" w:type="dxa"/>
        <w:right w:w="100" w:type="dxa"/>
      </w:tblCellMar>
    </w:tblPr>
  </w:style>
  <w:style w:type="table" w:customStyle="1" w:styleId="23">
    <w:name w:val="23"/>
    <w:basedOn w:val="TableNormal0"/>
    <w:qFormat/>
    <w:rsid w:val="00E944C2"/>
    <w:tblPr>
      <w:tblCellMar>
        <w:top w:w="100" w:type="dxa"/>
        <w:left w:w="100" w:type="dxa"/>
        <w:bottom w:w="100" w:type="dxa"/>
        <w:right w:w="100" w:type="dxa"/>
      </w:tblCellMar>
    </w:tblPr>
  </w:style>
  <w:style w:type="table" w:customStyle="1" w:styleId="22">
    <w:name w:val="22"/>
    <w:basedOn w:val="TableNormal0"/>
    <w:qFormat/>
    <w:rsid w:val="00E944C2"/>
    <w:tblPr>
      <w:tblCellMar>
        <w:top w:w="100" w:type="dxa"/>
        <w:left w:w="100" w:type="dxa"/>
        <w:bottom w:w="100" w:type="dxa"/>
        <w:right w:w="100" w:type="dxa"/>
      </w:tblCellMar>
    </w:tblPr>
  </w:style>
  <w:style w:type="table" w:customStyle="1" w:styleId="21">
    <w:name w:val="21"/>
    <w:basedOn w:val="TableNormal0"/>
    <w:qFormat/>
    <w:rsid w:val="00E944C2"/>
    <w:tblPr>
      <w:tblCellMar>
        <w:top w:w="100" w:type="dxa"/>
        <w:left w:w="100" w:type="dxa"/>
        <w:bottom w:w="100" w:type="dxa"/>
        <w:right w:w="100" w:type="dxa"/>
      </w:tblCellMar>
    </w:tblPr>
  </w:style>
  <w:style w:type="table" w:customStyle="1" w:styleId="20">
    <w:name w:val="20"/>
    <w:basedOn w:val="TableNormal0"/>
    <w:qFormat/>
    <w:rsid w:val="00E944C2"/>
    <w:tblPr>
      <w:tblCellMar>
        <w:top w:w="100" w:type="dxa"/>
        <w:left w:w="100" w:type="dxa"/>
        <w:bottom w:w="100" w:type="dxa"/>
        <w:right w:w="100" w:type="dxa"/>
      </w:tblCellMar>
    </w:tblPr>
  </w:style>
  <w:style w:type="table" w:customStyle="1" w:styleId="19">
    <w:name w:val="19"/>
    <w:basedOn w:val="TableNormal0"/>
    <w:qFormat/>
    <w:rsid w:val="00E944C2"/>
    <w:tblPr>
      <w:tblCellMar>
        <w:top w:w="100" w:type="dxa"/>
        <w:left w:w="100" w:type="dxa"/>
        <w:bottom w:w="100" w:type="dxa"/>
        <w:right w:w="100" w:type="dxa"/>
      </w:tblCellMar>
    </w:tblPr>
  </w:style>
  <w:style w:type="table" w:customStyle="1" w:styleId="18">
    <w:name w:val="18"/>
    <w:basedOn w:val="TableNormal0"/>
    <w:qFormat/>
    <w:rsid w:val="00E944C2"/>
    <w:tblPr>
      <w:tblCellMar>
        <w:top w:w="100" w:type="dxa"/>
        <w:left w:w="100" w:type="dxa"/>
        <w:bottom w:w="100" w:type="dxa"/>
        <w:right w:w="100" w:type="dxa"/>
      </w:tblCellMar>
    </w:tblPr>
  </w:style>
  <w:style w:type="table" w:customStyle="1" w:styleId="17">
    <w:name w:val="17"/>
    <w:basedOn w:val="TableNormal0"/>
    <w:qFormat/>
    <w:rsid w:val="00E944C2"/>
    <w:tblPr>
      <w:tblCellMar>
        <w:top w:w="100" w:type="dxa"/>
        <w:left w:w="100" w:type="dxa"/>
        <w:bottom w:w="100" w:type="dxa"/>
        <w:right w:w="100" w:type="dxa"/>
      </w:tblCellMar>
    </w:tblPr>
  </w:style>
  <w:style w:type="table" w:customStyle="1" w:styleId="16">
    <w:name w:val="16"/>
    <w:basedOn w:val="TableNormal0"/>
    <w:qFormat/>
    <w:rsid w:val="00E944C2"/>
    <w:tblPr>
      <w:tblCellMar>
        <w:top w:w="100" w:type="dxa"/>
        <w:left w:w="100" w:type="dxa"/>
        <w:bottom w:w="100" w:type="dxa"/>
        <w:right w:w="100" w:type="dxa"/>
      </w:tblCellMar>
    </w:tblPr>
  </w:style>
  <w:style w:type="table" w:customStyle="1" w:styleId="15">
    <w:name w:val="15"/>
    <w:basedOn w:val="TableNormal0"/>
    <w:qFormat/>
    <w:rsid w:val="00E944C2"/>
    <w:tblPr>
      <w:tblCellMar>
        <w:top w:w="100" w:type="dxa"/>
        <w:left w:w="100" w:type="dxa"/>
        <w:bottom w:w="100" w:type="dxa"/>
        <w:right w:w="100" w:type="dxa"/>
      </w:tblCellMar>
    </w:tblPr>
  </w:style>
  <w:style w:type="table" w:customStyle="1" w:styleId="14">
    <w:name w:val="14"/>
    <w:basedOn w:val="TableNormal0"/>
    <w:rsid w:val="00E944C2"/>
    <w:tblPr>
      <w:tblCellMar>
        <w:top w:w="100" w:type="dxa"/>
        <w:left w:w="100" w:type="dxa"/>
        <w:bottom w:w="100" w:type="dxa"/>
        <w:right w:w="100" w:type="dxa"/>
      </w:tblCellMar>
    </w:tblPr>
  </w:style>
  <w:style w:type="table" w:customStyle="1" w:styleId="13">
    <w:name w:val="13"/>
    <w:basedOn w:val="TableNormal0"/>
    <w:rsid w:val="00E944C2"/>
    <w:tblPr>
      <w:tblCellMar>
        <w:top w:w="100" w:type="dxa"/>
        <w:left w:w="100" w:type="dxa"/>
        <w:bottom w:w="100" w:type="dxa"/>
        <w:right w:w="100" w:type="dxa"/>
      </w:tblCellMar>
    </w:tblPr>
  </w:style>
  <w:style w:type="table" w:customStyle="1" w:styleId="12">
    <w:name w:val="12"/>
    <w:basedOn w:val="TableNormal0"/>
    <w:rsid w:val="00E944C2"/>
    <w:tblPr>
      <w:tblCellMar>
        <w:top w:w="100" w:type="dxa"/>
        <w:left w:w="100" w:type="dxa"/>
        <w:bottom w:w="100" w:type="dxa"/>
        <w:right w:w="100" w:type="dxa"/>
      </w:tblCellMar>
    </w:tblPr>
  </w:style>
  <w:style w:type="table" w:customStyle="1" w:styleId="11">
    <w:name w:val="11"/>
    <w:basedOn w:val="TableNormal0"/>
    <w:rsid w:val="00E944C2"/>
    <w:tblPr>
      <w:tblCellMar>
        <w:top w:w="100" w:type="dxa"/>
        <w:left w:w="100" w:type="dxa"/>
        <w:bottom w:w="100" w:type="dxa"/>
        <w:right w:w="100" w:type="dxa"/>
      </w:tblCellMar>
    </w:tblPr>
  </w:style>
  <w:style w:type="table" w:customStyle="1" w:styleId="10">
    <w:name w:val="10"/>
    <w:basedOn w:val="TableNormal0"/>
    <w:rsid w:val="00E944C2"/>
    <w:tblPr>
      <w:tblCellMar>
        <w:top w:w="100" w:type="dxa"/>
        <w:left w:w="100" w:type="dxa"/>
        <w:bottom w:w="100" w:type="dxa"/>
        <w:right w:w="100" w:type="dxa"/>
      </w:tblCellMar>
    </w:tblPr>
  </w:style>
  <w:style w:type="table" w:customStyle="1" w:styleId="9">
    <w:name w:val="9"/>
    <w:basedOn w:val="TableNormal0"/>
    <w:rsid w:val="00E944C2"/>
    <w:tblPr>
      <w:tblCellMar>
        <w:top w:w="100" w:type="dxa"/>
        <w:left w:w="100" w:type="dxa"/>
        <w:bottom w:w="100" w:type="dxa"/>
        <w:right w:w="100" w:type="dxa"/>
      </w:tblCellMar>
    </w:tblPr>
  </w:style>
  <w:style w:type="table" w:customStyle="1" w:styleId="8">
    <w:name w:val="8"/>
    <w:basedOn w:val="TableNormal0"/>
    <w:rsid w:val="00E944C2"/>
    <w:tblPr>
      <w:tblCellMar>
        <w:top w:w="100" w:type="dxa"/>
        <w:left w:w="100" w:type="dxa"/>
        <w:bottom w:w="100" w:type="dxa"/>
        <w:right w:w="100" w:type="dxa"/>
      </w:tblCellMar>
    </w:tblPr>
  </w:style>
  <w:style w:type="table" w:customStyle="1" w:styleId="7">
    <w:name w:val="7"/>
    <w:basedOn w:val="TableNormal0"/>
    <w:rsid w:val="00E944C2"/>
    <w:tblPr>
      <w:tblCellMar>
        <w:top w:w="100" w:type="dxa"/>
        <w:left w:w="100" w:type="dxa"/>
        <w:bottom w:w="100" w:type="dxa"/>
        <w:right w:w="100" w:type="dxa"/>
      </w:tblCellMar>
    </w:tblPr>
  </w:style>
  <w:style w:type="table" w:customStyle="1" w:styleId="6">
    <w:name w:val="6"/>
    <w:basedOn w:val="TableNormal0"/>
    <w:rsid w:val="00E944C2"/>
    <w:tblPr>
      <w:tblCellMar>
        <w:top w:w="100" w:type="dxa"/>
        <w:left w:w="100" w:type="dxa"/>
        <w:bottom w:w="100" w:type="dxa"/>
        <w:right w:w="100" w:type="dxa"/>
      </w:tblCellMar>
    </w:tblPr>
  </w:style>
  <w:style w:type="table" w:customStyle="1" w:styleId="5">
    <w:name w:val="5"/>
    <w:basedOn w:val="TableNormal0"/>
    <w:rsid w:val="00E944C2"/>
    <w:tblPr>
      <w:tblCellMar>
        <w:top w:w="100" w:type="dxa"/>
        <w:left w:w="100" w:type="dxa"/>
        <w:bottom w:w="100" w:type="dxa"/>
        <w:right w:w="100" w:type="dxa"/>
      </w:tblCellMar>
    </w:tblPr>
  </w:style>
  <w:style w:type="table" w:customStyle="1" w:styleId="4">
    <w:name w:val="4"/>
    <w:basedOn w:val="TableNormal0"/>
    <w:rsid w:val="00E944C2"/>
    <w:tblPr>
      <w:tblCellMar>
        <w:top w:w="100" w:type="dxa"/>
        <w:left w:w="100" w:type="dxa"/>
        <w:bottom w:w="100" w:type="dxa"/>
        <w:right w:w="100" w:type="dxa"/>
      </w:tblCellMar>
    </w:tblPr>
  </w:style>
  <w:style w:type="table" w:customStyle="1" w:styleId="3">
    <w:name w:val="3"/>
    <w:basedOn w:val="TableNormal0"/>
    <w:rsid w:val="00E944C2"/>
    <w:tblPr>
      <w:tblCellMar>
        <w:top w:w="100" w:type="dxa"/>
        <w:left w:w="100" w:type="dxa"/>
        <w:bottom w:w="100" w:type="dxa"/>
        <w:right w:w="100" w:type="dxa"/>
      </w:tblCellMar>
    </w:tblPr>
  </w:style>
  <w:style w:type="table" w:customStyle="1" w:styleId="2">
    <w:name w:val="2"/>
    <w:basedOn w:val="TableNormal0"/>
    <w:rsid w:val="00E944C2"/>
    <w:tblPr>
      <w:tblCellMar>
        <w:top w:w="100" w:type="dxa"/>
        <w:left w:w="100" w:type="dxa"/>
        <w:bottom w:w="100" w:type="dxa"/>
        <w:right w:w="100" w:type="dxa"/>
      </w:tblCellMar>
    </w:tblPr>
  </w:style>
  <w:style w:type="table" w:customStyle="1" w:styleId="1">
    <w:name w:val="1"/>
    <w:basedOn w:val="TableNormal0"/>
    <w:rsid w:val="00E944C2"/>
    <w:tblPr>
      <w:tblCellMar>
        <w:top w:w="100" w:type="dxa"/>
        <w:left w:w="100" w:type="dxa"/>
        <w:bottom w:w="100" w:type="dxa"/>
        <w:right w:w="100" w:type="dxa"/>
      </w:tblCellMar>
    </w:tblPr>
  </w:style>
  <w:style w:type="character" w:customStyle="1" w:styleId="CommentTextChar">
    <w:name w:val="Comment Text Char"/>
    <w:basedOn w:val="DefaultParagraphFont"/>
    <w:link w:val="CommentText"/>
    <w:uiPriority w:val="99"/>
    <w:semiHidden/>
    <w:rsid w:val="00E944C2"/>
    <w:rPr>
      <w:sz w:val="20"/>
      <w:szCs w:val="20"/>
    </w:rPr>
  </w:style>
  <w:style w:type="character" w:customStyle="1" w:styleId="BalloonTextChar">
    <w:name w:val="Balloon Text Char"/>
    <w:basedOn w:val="DefaultParagraphFont"/>
    <w:link w:val="BalloonText"/>
    <w:uiPriority w:val="99"/>
    <w:semiHidden/>
    <w:rsid w:val="00E944C2"/>
    <w:rPr>
      <w:rFonts w:ascii="Tahoma" w:hAnsi="Tahoma" w:cs="Tahoma"/>
      <w:sz w:val="16"/>
      <w:szCs w:val="16"/>
    </w:rPr>
  </w:style>
  <w:style w:type="character" w:customStyle="1" w:styleId="CommentSubjectChar">
    <w:name w:val="Comment Subject Char"/>
    <w:basedOn w:val="CommentTextChar"/>
    <w:link w:val="CommentSubject"/>
    <w:uiPriority w:val="99"/>
    <w:semiHidden/>
    <w:rsid w:val="00E944C2"/>
    <w:rPr>
      <w:b/>
      <w:bCs/>
      <w:sz w:val="20"/>
      <w:szCs w:val="20"/>
    </w:rPr>
  </w:style>
  <w:style w:type="paragraph" w:styleId="Footer">
    <w:name w:val="footer"/>
    <w:basedOn w:val="Normal"/>
    <w:link w:val="FooterChar"/>
    <w:uiPriority w:val="99"/>
    <w:unhideWhenUsed/>
    <w:rsid w:val="00E36C81"/>
    <w:pPr>
      <w:tabs>
        <w:tab w:val="center" w:pos="4680"/>
        <w:tab w:val="right" w:pos="9360"/>
      </w:tabs>
      <w:spacing w:after="0" w:line="240" w:lineRule="auto"/>
    </w:pPr>
  </w:style>
  <w:style w:type="character" w:customStyle="1" w:styleId="FooterChar">
    <w:name w:val="Footer Char"/>
    <w:basedOn w:val="DefaultParagraphFont"/>
    <w:link w:val="Footer"/>
    <w:uiPriority w:val="99"/>
    <w:rsid w:val="00E36C81"/>
    <w:rPr>
      <w:sz w:val="22"/>
      <w:szCs w:val="22"/>
    </w:rPr>
  </w:style>
  <w:style w:type="character" w:styleId="LineNumber">
    <w:name w:val="line number"/>
    <w:basedOn w:val="DefaultParagraphFont"/>
    <w:uiPriority w:val="99"/>
    <w:semiHidden/>
    <w:unhideWhenUsed/>
    <w:rsid w:val="0023777C"/>
  </w:style>
  <w:style w:type="paragraph" w:styleId="Caption">
    <w:name w:val="caption"/>
    <w:basedOn w:val="Normal"/>
    <w:next w:val="Normal"/>
    <w:uiPriority w:val="35"/>
    <w:unhideWhenUsed/>
    <w:qFormat/>
    <w:rsid w:val="00595D39"/>
    <w:pPr>
      <w:spacing w:after="200" w:line="240" w:lineRule="auto"/>
    </w:pPr>
    <w:rPr>
      <w:b/>
      <w:bCs/>
      <w:color w:val="4F81BD" w:themeColor="accent1"/>
      <w:sz w:val="18"/>
      <w:szCs w:val="18"/>
    </w:rPr>
  </w:style>
</w:styles>
</file>

<file path=word/webSettings.xml><?xml version="1.0" encoding="utf-8"?>
<w:webSettings xmlns:r="http://schemas.openxmlformats.org/officeDocument/2006/relationships" xmlns:w="http://schemas.openxmlformats.org/wordprocessingml/2006/main">
  <w:divs>
    <w:div w:id="6122359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theme" Target="theme/theme1.xml"/><Relationship Id="rId3" Type="http://schemas.openxmlformats.org/officeDocument/2006/relationships/numbering" Target="numbering.xml"/><Relationship Id="rId21" Type="http://schemas.openxmlformats.org/officeDocument/2006/relationships/image" Target="media/image13.jpeg"/><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0" Type="http://schemas.openxmlformats.org/officeDocument/2006/relationships/image" Target="media/image12.pn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header" Target="header3.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ops>
  <customShpExts>
    <customShpInfo spid="_x0000_s2051"/>
    <customShpInfo spid="_x0000_s2049"/>
    <customShpInfo spid="_x0000_s2050"/>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FC15294C-9661-484B-84D3-32F8C23FEC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61630</Words>
  <Characters>351296</Characters>
  <Application>Microsoft Office Word</Application>
  <DocSecurity>0</DocSecurity>
  <Lines>2927</Lines>
  <Paragraphs>824</Paragraphs>
  <ScaleCrop>false</ScaleCrop>
  <HeadingPairs>
    <vt:vector size="4" baseType="variant">
      <vt:variant>
        <vt:lpstr>Title</vt:lpstr>
      </vt:variant>
      <vt:variant>
        <vt:i4>1</vt:i4>
      </vt:variant>
      <vt:variant>
        <vt:lpstr>Headings</vt:lpstr>
      </vt:variant>
      <vt:variant>
        <vt:i4>36</vt:i4>
      </vt:variant>
    </vt:vector>
  </HeadingPairs>
  <TitlesOfParts>
    <vt:vector size="37" baseType="lpstr">
      <vt:lpstr/>
      <vt:lpstr>1. UVOD</vt:lpstr>
      <vt:lpstr>    </vt:lpstr>
      <vt:lpstr>    1.1. Analiza realizacije Strateškog plana razvoja Glavnog grada 2020-2025</vt:lpstr>
      <vt:lpstr>2. ANALIZA TRENUTNOG STANJA I SWOT ANALIZA</vt:lpstr>
      <vt:lpstr>    2.1. Opšti podaci</vt:lpstr>
      <vt:lpstr>        2.1.1. Geografski položaj i prirodne karakteristike</vt:lpstr>
      <vt:lpstr>        2.1.2. Klima</vt:lpstr>
      <vt:lpstr>        2.1.3. Istorijski pregled</vt:lpstr>
      <vt:lpstr>    2.2.  Demografske karakteristike</vt:lpstr>
      <vt:lpstr>        2.2.1. Populacija</vt:lpstr>
      <vt:lpstr>        2.2.2. Starosna struktura</vt:lpstr>
      <vt:lpstr>        2.2.3. Migracioni trendovi</vt:lpstr>
      <vt:lpstr>        2.2.4. Obrazovna struktura</vt:lpstr>
      <vt:lpstr>        2.2.5. Natalitet i mortalitet</vt:lpstr>
      <vt:lpstr>    2.3. Ekonomski pregled</vt:lpstr>
      <vt:lpstr>        2.3.1.  Tržište rada i radne snage</vt:lpstr>
      <vt:lpstr>        2.3.2. Tražnja za radnom snagom</vt:lpstr>
      <vt:lpstr>        2.3.3. Stopa registrovane nezaposlenosti</vt:lpstr>
      <vt:lpstr>    2.4. Industrija i preduzetništvo</vt:lpstr>
      <vt:lpstr>    </vt:lpstr>
      <vt:lpstr>    2.5. Poljoprivreda</vt:lpstr>
      <vt:lpstr>        2.5.1.  Finansijske mjere podrške poljoprivredi</vt:lpstr>
      <vt:lpstr>    2.5.2. Organska proizvodnja</vt:lpstr>
      <vt:lpstr>    2.6. Turizam i ugostiteljstvo</vt:lpstr>
      <vt:lpstr>        </vt:lpstr>
      <vt:lpstr>    2.7. Trgovina i zanatstvo</vt:lpstr>
      <vt:lpstr>    2.8. Investicije</vt:lpstr>
      <vt:lpstr>    2.9. Prostorno planska dokumentacija</vt:lpstr>
      <vt:lpstr>    2.10. Komunalna infrastruktura</vt:lpstr>
      <vt:lpstr>        2.10.1. Naknada za komunalno opremanje građevinskog zemljišta</vt:lpstr>
      <vt:lpstr>        2.10.2. Građevinske dozvole i podnešeni zahtjevi za legalizaciju</vt:lpstr>
      <vt:lpstr>    2.11. Lokalni putevi i ulice u naseljima</vt:lpstr>
      <vt:lpstr>        2.11.1. Javni prevoz putnika</vt:lpstr>
      <vt:lpstr>        2.11.2. Digitalizacija linijskog prevoza putnika</vt:lpstr>
      <vt:lpstr>        2.11.3. Stacionarni saobraćaj</vt:lpstr>
      <vt:lpstr>        2.11.4. Infrastruktura za nemotorizovane učesnike u saobraćaju</vt:lpstr>
    </vt:vector>
  </TitlesOfParts>
  <Company/>
  <LinksUpToDate>false</LinksUpToDate>
  <CharactersWithSpaces>412102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Jovana Bošković</dc:creator>
  <cp:lastModifiedBy>sasa.scekic</cp:lastModifiedBy>
  <cp:revision>3</cp:revision>
  <dcterms:created xsi:type="dcterms:W3CDTF">2025-11-06T12:48:00Z</dcterms:created>
  <dcterms:modified xsi:type="dcterms:W3CDTF">2025-11-06T12:51:00Z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1033-12.2.0.23155</vt:lpwstr>
  </property>
  <property fmtid="{D5CDD505-2E9C-101B-9397-08002B2CF9AE}" pid="3" name="ICV">
    <vt:lpwstr>3414546CEE2842A48E2776D6A743CD5F_12</vt:lpwstr>
  </property>
</Properties>
</file>