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070BD">
      <w:pPr>
        <w:pStyle w:val="T30X"/>
      </w:pPr>
      <w:bookmarkStart w:id="0" w:name="_GoBack"/>
      <w:bookmarkEnd w:id="0"/>
      <w:r>
        <w:t>Pre</w:t>
      </w:r>
      <w:r>
        <w:t>č</w:t>
      </w:r>
      <w:r>
        <w:t>iš</w:t>
      </w:r>
      <w:r>
        <w:t>ć</w:t>
      </w:r>
      <w:r>
        <w:t>eni tekst Pravilnika o na</w:t>
      </w:r>
      <w:r>
        <w:t>č</w:t>
      </w:r>
      <w:r>
        <w:t>inu, uslovima i postupku za usmjeravanje djece sa posebnim obrazovnim p</w:t>
      </w:r>
      <w:r>
        <w:t>otrebama obuhvata sljede</w:t>
      </w:r>
      <w:r>
        <w:t>ć</w:t>
      </w:r>
      <w:r>
        <w:t>e propise:</w:t>
      </w:r>
    </w:p>
    <w:p w:rsidR="00000000" w:rsidRDefault="00A070BD">
      <w:pPr>
        <w:pStyle w:val="T30X"/>
        <w:ind w:left="567" w:hanging="283"/>
      </w:pPr>
      <w:r>
        <w:t>1. Pravilnik o na</w:t>
      </w:r>
      <w:r>
        <w:t>č</w:t>
      </w:r>
      <w:r>
        <w:t>inu, uslovima i postupku za usmjeravanje djece sa posebnim obrazovnim potrebama ("Službeni list Crne Gore", br. 057/11 od 30.11.2011),</w:t>
      </w:r>
    </w:p>
    <w:p w:rsidR="00000000" w:rsidRDefault="00A070BD">
      <w:pPr>
        <w:pStyle w:val="T30X"/>
        <w:ind w:left="567" w:hanging="283"/>
      </w:pPr>
      <w:r>
        <w:t>2. Pravilnik o izmjenama i dopunama Pravilnika o na</w:t>
      </w:r>
      <w:r>
        <w:t>č</w:t>
      </w:r>
      <w:r>
        <w:t>inu, uslovima i postupku za usmjeravanje djece sa posebnim obrazovnim potrebama ("Službeni list Crne Gore", br. 060/19 od 01.11.2019), u kojima je nazna</w:t>
      </w:r>
      <w:r>
        <w:t>č</w:t>
      </w:r>
      <w:r>
        <w:t>en njihov dan stupanja na snagu.</w:t>
      </w:r>
    </w:p>
    <w:p w:rsidR="00000000" w:rsidRDefault="00A070BD">
      <w:pPr>
        <w:pStyle w:val="N03Y"/>
      </w:pPr>
      <w:r>
        <w:t>PRAVILNIK</w:t>
      </w:r>
    </w:p>
    <w:p w:rsidR="00000000" w:rsidRDefault="00A070BD">
      <w:pPr>
        <w:pStyle w:val="N03Y"/>
      </w:pPr>
      <w:r>
        <w:t>O NA</w:t>
      </w:r>
      <w:r>
        <w:t>Č</w:t>
      </w:r>
      <w:r>
        <w:t>INU, USLOVIMA I POSTUPKU ZA USMJERAVANJE DJECE SA POSEB</w:t>
      </w:r>
      <w:r>
        <w:t>NIM OBRAZOVNIM POTREBAMA</w:t>
      </w:r>
    </w:p>
    <w:p w:rsidR="00000000" w:rsidRDefault="00A070BD">
      <w:pPr>
        <w:pStyle w:val="N05Y"/>
      </w:pPr>
      <w:r>
        <w:t>("Službeni list Crne Gore", br. 057/11 od 30.11.2011, 060/19 od 01.11.2019)</w:t>
      </w:r>
    </w:p>
    <w:p w:rsidR="00000000" w:rsidRDefault="00A070BD">
      <w:pPr>
        <w:pStyle w:val="N01X"/>
      </w:pPr>
      <w:r>
        <w:t>Sadržaj</w:t>
      </w:r>
    </w:p>
    <w:p w:rsidR="00000000" w:rsidRDefault="00A070BD">
      <w:pPr>
        <w:pStyle w:val="C30X"/>
      </w:pPr>
      <w:r>
        <w:t>Č</w:t>
      </w:r>
      <w:r>
        <w:t>lan 1</w:t>
      </w:r>
    </w:p>
    <w:p w:rsidR="00000000" w:rsidRDefault="00A070BD">
      <w:pPr>
        <w:pStyle w:val="T30X"/>
      </w:pPr>
      <w:r>
        <w:t>Na</w:t>
      </w:r>
      <w:r>
        <w:t>č</w:t>
      </w:r>
      <w:r>
        <w:t>in, uslovi i postupak za usmjeravanje djece sa posebnim obrazovnim potrebama propisuje se ovim pravilnikom.</w:t>
      </w:r>
    </w:p>
    <w:p w:rsidR="00000000" w:rsidRDefault="00A070BD">
      <w:pPr>
        <w:pStyle w:val="N01X"/>
      </w:pPr>
      <w:r>
        <w:t>Komisija za usmjeravanje djec</w:t>
      </w:r>
      <w:r>
        <w:t>e sa posebnim obrazovnim potrebama</w:t>
      </w:r>
    </w:p>
    <w:p w:rsidR="00000000" w:rsidRDefault="00A070BD">
      <w:pPr>
        <w:pStyle w:val="C30X"/>
      </w:pPr>
      <w:r>
        <w:t>Č</w:t>
      </w:r>
      <w:r>
        <w:t>lan 2</w:t>
      </w:r>
    </w:p>
    <w:p w:rsidR="00000000" w:rsidRDefault="00A070BD">
      <w:pPr>
        <w:pStyle w:val="T30X"/>
      </w:pPr>
      <w:r>
        <w:t>Prijedlog za usmjeravanje u odgovaraju</w:t>
      </w:r>
      <w:r>
        <w:t>ć</w:t>
      </w:r>
      <w:r>
        <w:t>i obrazovni program i ustanovu u koju se dijete sa posebnom obrazovnom potrebom uklju</w:t>
      </w:r>
      <w:r>
        <w:t>č</w:t>
      </w:r>
      <w:r>
        <w:t>uje, daje Komisija za usmjeravanje djece sa posebnim obrazovnim potrebama (u daljem tekst</w:t>
      </w:r>
      <w:r>
        <w:t>u: prvostepena komisija) na osnovu o</w:t>
      </w:r>
      <w:r>
        <w:t>č</w:t>
      </w:r>
      <w:r>
        <w:t>uvanih sposobnosti i posebne obrazovne potrebe.</w:t>
      </w:r>
    </w:p>
    <w:p w:rsidR="00000000" w:rsidRDefault="00A070BD">
      <w:pPr>
        <w:pStyle w:val="N01X"/>
      </w:pPr>
      <w:r>
        <w:t>Djeca sa posebnim obrazovnim potrebama</w:t>
      </w:r>
    </w:p>
    <w:p w:rsidR="00000000" w:rsidRDefault="00A070BD">
      <w:pPr>
        <w:pStyle w:val="C30X"/>
      </w:pPr>
      <w:r>
        <w:t>Č</w:t>
      </w:r>
      <w:r>
        <w:t>lan 3</w:t>
      </w:r>
    </w:p>
    <w:p w:rsidR="00000000" w:rsidRDefault="00A070BD">
      <w:pPr>
        <w:pStyle w:val="T30X"/>
      </w:pPr>
      <w:r>
        <w:t>Djeca sa posebnim obrazovnim potrebama su:</w:t>
      </w:r>
    </w:p>
    <w:p w:rsidR="00000000" w:rsidRDefault="00A070BD">
      <w:pPr>
        <w:pStyle w:val="T30X"/>
        <w:ind w:left="567" w:hanging="283"/>
      </w:pPr>
      <w:r>
        <w:t xml:space="preserve">   - djeca sa tjelesnim, intelektualnim, senzornim, kombinovanim smetnjama i smetn</w:t>
      </w:r>
      <w:r>
        <w:t>jama iz spektra autizma;</w:t>
      </w:r>
    </w:p>
    <w:p w:rsidR="00000000" w:rsidRDefault="00A070BD">
      <w:pPr>
        <w:pStyle w:val="T30X"/>
        <w:ind w:left="567" w:hanging="283"/>
      </w:pPr>
      <w:r>
        <w:t xml:space="preserve">   - djeca sa govorno-jezi</w:t>
      </w:r>
      <w:r>
        <w:t>č</w:t>
      </w:r>
      <w:r>
        <w:t>kim teško</w:t>
      </w:r>
      <w:r>
        <w:t>ć</w:t>
      </w:r>
      <w:r>
        <w:t>ama, poreme</w:t>
      </w:r>
      <w:r>
        <w:t>ć</w:t>
      </w:r>
      <w:r>
        <w:t>ajima u ponašanju, teškim hroni</w:t>
      </w:r>
      <w:r>
        <w:t>č</w:t>
      </w:r>
      <w:r>
        <w:t>nim oboljenjima, dugotrajno bolesna djeca i druga djeca koja imaju poteško</w:t>
      </w:r>
      <w:r>
        <w:t>ć</w:t>
      </w:r>
      <w:r>
        <w:t>e u u</w:t>
      </w:r>
      <w:r>
        <w:t>č</w:t>
      </w:r>
      <w:r>
        <w:t>enju i druge teško</w:t>
      </w:r>
      <w:r>
        <w:t>ć</w:t>
      </w:r>
      <w:r>
        <w:t>e uzrokovane emocionalnim, socijalnim, jezi</w:t>
      </w:r>
      <w:r>
        <w:t>č</w:t>
      </w:r>
      <w:r>
        <w:t xml:space="preserve">kim i </w:t>
      </w:r>
      <w:r>
        <w:t>kulturološkim preprekama.</w:t>
      </w:r>
    </w:p>
    <w:p w:rsidR="00000000" w:rsidRDefault="00A070BD">
      <w:pPr>
        <w:pStyle w:val="N01X"/>
      </w:pPr>
      <w:r>
        <w:t>Djeca sa tjelesnim smetnjama</w:t>
      </w:r>
    </w:p>
    <w:p w:rsidR="00000000" w:rsidRDefault="00A070BD">
      <w:pPr>
        <w:pStyle w:val="C30X"/>
      </w:pPr>
      <w:r>
        <w:t>Č</w:t>
      </w:r>
      <w:r>
        <w:t>lan 4</w:t>
      </w:r>
    </w:p>
    <w:p w:rsidR="00000000" w:rsidRDefault="00A070BD">
      <w:pPr>
        <w:pStyle w:val="T30X"/>
      </w:pPr>
      <w:r>
        <w:t xml:space="preserve">Djeca sa tjelesnim smetnjama su djeca </w:t>
      </w:r>
      <w:r>
        <w:t>č</w:t>
      </w:r>
      <w:r>
        <w:t>ije se sposobnosti odnose na izvo</w:t>
      </w:r>
      <w:r>
        <w:t>đ</w:t>
      </w:r>
      <w:r>
        <w:t>enje pokreta, pomijeranje i koriš</w:t>
      </w:r>
      <w:r>
        <w:t>ć</w:t>
      </w:r>
      <w:r>
        <w:t xml:space="preserve">enja djelova tijela, pokretanja </w:t>
      </w:r>
      <w:r>
        <w:t>č</w:t>
      </w:r>
      <w:r>
        <w:t>itavog tijela do potpune tjelesne neaktivnosti.</w:t>
      </w:r>
    </w:p>
    <w:p w:rsidR="00000000" w:rsidRDefault="00A070BD">
      <w:pPr>
        <w:pStyle w:val="T30X"/>
      </w:pPr>
      <w:r>
        <w:t>S obzi</w:t>
      </w:r>
      <w:r>
        <w:t xml:space="preserve">rom na smetnje iz stava 1 ovog </w:t>
      </w:r>
      <w:r>
        <w:t>č</w:t>
      </w:r>
      <w:r>
        <w:t>lana razlikuju se:</w:t>
      </w:r>
    </w:p>
    <w:p w:rsidR="00000000" w:rsidRDefault="00A070BD">
      <w:pPr>
        <w:pStyle w:val="T30X"/>
        <w:ind w:left="567" w:hanging="283"/>
      </w:pPr>
      <w:r>
        <w:t xml:space="preserve">   - djeca sa lakšim tjelesnim smetnjama koja su samostalna kod svih radnji, osim onih koje zahtijevaju dobru spretnost ruku, kada im je potrebna manja pomo</w:t>
      </w:r>
      <w:r>
        <w:t>ć</w:t>
      </w:r>
      <w:r>
        <w:t xml:space="preserve"> drugih lica, jednostavnija prilago</w:t>
      </w:r>
      <w:r>
        <w:t>đ</w:t>
      </w:r>
      <w:r>
        <w:t>avanja i pom</w:t>
      </w:r>
      <w:r>
        <w:t>o</w:t>
      </w:r>
      <w:r>
        <w:t>ć</w:t>
      </w:r>
      <w:r>
        <w:t>na sredstva.</w:t>
      </w:r>
    </w:p>
    <w:p w:rsidR="00000000" w:rsidRDefault="00A070BD">
      <w:pPr>
        <w:pStyle w:val="T30X"/>
        <w:ind w:left="567" w:hanging="283"/>
      </w:pPr>
      <w:r>
        <w:t xml:space="preserve">   - djeca sa umjerenim tjelesnim smetnjama koja se samostalno kre</w:t>
      </w:r>
      <w:r>
        <w:t>ć</w:t>
      </w:r>
      <w:r>
        <w:t>u po prostorijama ili na kra</w:t>
      </w:r>
      <w:r>
        <w:t>ć</w:t>
      </w:r>
      <w:r>
        <w:t>e razdaljine, djelimi</w:t>
      </w:r>
      <w:r>
        <w:t>č</w:t>
      </w:r>
      <w:r>
        <w:t>no izvode fizi</w:t>
      </w:r>
      <w:r>
        <w:t>č</w:t>
      </w:r>
      <w:r>
        <w:t>ke aktivnosti, pa i ako se izvodi uz pomo</w:t>
      </w:r>
      <w:r>
        <w:t>ć</w:t>
      </w:r>
      <w:r>
        <w:t xml:space="preserve"> drugog lica, nadgledanje ili tehni</w:t>
      </w:r>
      <w:r>
        <w:t>č</w:t>
      </w:r>
      <w:r>
        <w:t>ka pomagala.</w:t>
      </w:r>
    </w:p>
    <w:p w:rsidR="00000000" w:rsidRDefault="00A070BD">
      <w:pPr>
        <w:pStyle w:val="T30X"/>
        <w:ind w:left="567" w:hanging="283"/>
      </w:pPr>
      <w:r>
        <w:t xml:space="preserve">   - djeca sa tež</w:t>
      </w:r>
      <w:r>
        <w:t>im tjelesnim smetnjama koja za kretanje koriste pomagala (ortoze, štake, kolica na ru</w:t>
      </w:r>
      <w:r>
        <w:t>č</w:t>
      </w:r>
      <w:r>
        <w:t>ni pogon, hodalice i sl.) i imaju zna</w:t>
      </w:r>
      <w:r>
        <w:t>č</w:t>
      </w:r>
      <w:r>
        <w:t>ajno umanjenu finu motoriku ruku pa im za izvo</w:t>
      </w:r>
      <w:r>
        <w:t>đ</w:t>
      </w:r>
      <w:r>
        <w:t>enje vaspitno-obrazovnog rada može biti potrebna pomo</w:t>
      </w:r>
      <w:r>
        <w:t>ć</w:t>
      </w:r>
      <w:r>
        <w:t xml:space="preserve"> drugog lica.</w:t>
      </w:r>
    </w:p>
    <w:p w:rsidR="00000000" w:rsidRDefault="00A070BD">
      <w:pPr>
        <w:pStyle w:val="T30X"/>
        <w:ind w:left="567" w:hanging="283"/>
      </w:pPr>
      <w:r>
        <w:t xml:space="preserve">   - djeca sa teš</w:t>
      </w:r>
      <w:r>
        <w:t>kim tjelesnim smetnjama koja imaju male funkcionalne pokrete tijela, pa im je za kretanje potrebno koriš</w:t>
      </w:r>
      <w:r>
        <w:t>ć</w:t>
      </w:r>
      <w:r>
        <w:t>enje elektromotornih kolica, za sjedenje prilago</w:t>
      </w:r>
      <w:r>
        <w:t>đ</w:t>
      </w:r>
      <w:r>
        <w:t>ena pomo</w:t>
      </w:r>
      <w:r>
        <w:t>ć</w:t>
      </w:r>
      <w:r>
        <w:t>na sredstva, a kod izvo</w:t>
      </w:r>
      <w:r>
        <w:t>đ</w:t>
      </w:r>
      <w:r>
        <w:t>enja vaspitno-obrazovnog rada pomo</w:t>
      </w:r>
      <w:r>
        <w:t>ć</w:t>
      </w:r>
      <w:r>
        <w:t xml:space="preserve"> drugog lica.</w:t>
      </w:r>
    </w:p>
    <w:p w:rsidR="00000000" w:rsidRDefault="00A070BD">
      <w:pPr>
        <w:pStyle w:val="N01X"/>
      </w:pPr>
      <w:r>
        <w:t>Djeca sa intelektual</w:t>
      </w:r>
      <w:r>
        <w:t>nim smetnjama</w:t>
      </w:r>
    </w:p>
    <w:p w:rsidR="00000000" w:rsidRDefault="00A070BD">
      <w:pPr>
        <w:pStyle w:val="C30X"/>
      </w:pPr>
      <w:r>
        <w:lastRenderedPageBreak/>
        <w:t>Č</w:t>
      </w:r>
      <w:r>
        <w:t>lan 5</w:t>
      </w:r>
    </w:p>
    <w:p w:rsidR="00000000" w:rsidRDefault="00A070BD">
      <w:pPr>
        <w:pStyle w:val="T30X"/>
      </w:pPr>
      <w:r>
        <w:t>Djeca sa intelektualnim smetnjama su djeca koja imaju umanjene intelektualne sposobnosti: u</w:t>
      </w:r>
      <w:r>
        <w:t>č</w:t>
      </w:r>
      <w:r>
        <w:t>enja, pam</w:t>
      </w:r>
      <w:r>
        <w:t>ć</w:t>
      </w:r>
      <w:r>
        <w:t>enja, prisje</w:t>
      </w:r>
      <w:r>
        <w:t>ć</w:t>
      </w:r>
      <w:r>
        <w:t>anja, reprodukovanja i ostalih misaonih funkcija.</w:t>
      </w:r>
    </w:p>
    <w:p w:rsidR="00000000" w:rsidRDefault="00A070BD">
      <w:pPr>
        <w:pStyle w:val="T30X"/>
      </w:pPr>
      <w:r>
        <w:t xml:space="preserve">S obzirom na smetnje iz stava 1 ovog </w:t>
      </w:r>
      <w:r>
        <w:t>č</w:t>
      </w:r>
      <w:r>
        <w:t>lana razlikuju se:</w:t>
      </w:r>
    </w:p>
    <w:p w:rsidR="00000000" w:rsidRDefault="00A070BD">
      <w:pPr>
        <w:pStyle w:val="T30X"/>
        <w:ind w:left="567" w:hanging="283"/>
      </w:pPr>
      <w:r>
        <w:t xml:space="preserve">   - djeca sa lakšim intelektualnim smetnjama koja imaju umanjene intelektualne sposobnosti za u</w:t>
      </w:r>
      <w:r>
        <w:t>č</w:t>
      </w:r>
      <w:r>
        <w:t>enje i izvo</w:t>
      </w:r>
      <w:r>
        <w:t>đ</w:t>
      </w:r>
      <w:r>
        <w:t xml:space="preserve">enje vještina, snalaženje u rješavanju jednostavnih problema i mogu se osposobiti na osnovu rutinskih vještina za jednostavne poslove i samostalan </w:t>
      </w:r>
      <w:r>
        <w:t>socijalni život.</w:t>
      </w:r>
    </w:p>
    <w:p w:rsidR="00000000" w:rsidRDefault="00A070BD">
      <w:pPr>
        <w:pStyle w:val="T30X"/>
        <w:ind w:left="567" w:hanging="283"/>
      </w:pPr>
      <w:r>
        <w:t xml:space="preserve">   - djeca sa umjerenim intelektualnim smetnjama koja imaju intelektualne sposobnost da usvoje osnove </w:t>
      </w:r>
      <w:r>
        <w:t>č</w:t>
      </w:r>
      <w:r>
        <w:t>itanja, pisanja, razviju vještine osnovnog samozbrinjavanja, i mogu se osposobiti za jednostavne, prakti</w:t>
      </w:r>
      <w:r>
        <w:t>č</w:t>
      </w:r>
      <w:r>
        <w:t>ne, rutinske i poznate poslove,</w:t>
      </w:r>
      <w:r>
        <w:t xml:space="preserve"> pod stalnim i neposrednim nadzorom.</w:t>
      </w:r>
    </w:p>
    <w:p w:rsidR="00000000" w:rsidRDefault="00A070BD">
      <w:pPr>
        <w:pStyle w:val="T30X"/>
        <w:ind w:left="567" w:hanging="283"/>
      </w:pPr>
      <w:r>
        <w:t xml:space="preserve">   - djeca sa težim intelektualnim smetnjama koja imaju veoma umanjene intelektualne sposobnosti za u</w:t>
      </w:r>
      <w:r>
        <w:t>č</w:t>
      </w:r>
      <w:r>
        <w:t>enje, otežano realizuju svakodnevne životne potrebe i mogu se osposobiti za najjednostavnije radnje, znanja i vještin</w:t>
      </w:r>
      <w:r>
        <w:t>a neophodne za svakodnevni život uz pomo</w:t>
      </w:r>
      <w:r>
        <w:t>ć</w:t>
      </w:r>
      <w:r>
        <w:t xml:space="preserve"> i/ili nadgledanje.</w:t>
      </w:r>
    </w:p>
    <w:p w:rsidR="00000000" w:rsidRDefault="00A070BD">
      <w:pPr>
        <w:pStyle w:val="T30X"/>
        <w:ind w:left="567" w:hanging="283"/>
      </w:pPr>
      <w:r>
        <w:t xml:space="preserve">   - djeca sa teškim intelektualnim smetnjama koja imaju jako umanjene intelektualne sposobnostima za izvršavanje intelektualnih aktivnosti i teško mogu realizovati svakodnevne životne potrebe, p</w:t>
      </w:r>
      <w:r>
        <w:t>a im je potrebno razvijati vještine potrebne za životne interakcije uz njegu, nadzor i pomo</w:t>
      </w:r>
      <w:r>
        <w:t>ć</w:t>
      </w:r>
      <w:r>
        <w:t xml:space="preserve"> od strane drugog lica.</w:t>
      </w:r>
    </w:p>
    <w:p w:rsidR="00000000" w:rsidRDefault="00A070BD">
      <w:pPr>
        <w:pStyle w:val="N01X"/>
      </w:pPr>
      <w:r>
        <w:t>Djeca sa senzornim smetnjama</w:t>
      </w:r>
    </w:p>
    <w:p w:rsidR="00000000" w:rsidRDefault="00A070BD">
      <w:pPr>
        <w:pStyle w:val="C30X"/>
      </w:pPr>
      <w:r>
        <w:t>Č</w:t>
      </w:r>
      <w:r>
        <w:t>lan 6</w:t>
      </w:r>
    </w:p>
    <w:p w:rsidR="00000000" w:rsidRDefault="00A070BD">
      <w:pPr>
        <w:pStyle w:val="T30X"/>
      </w:pPr>
      <w:r>
        <w:t>Djeca sa senzornim smetnjama su djeca sa smetnjama vida i sluha.</w:t>
      </w:r>
    </w:p>
    <w:p w:rsidR="00000000" w:rsidRDefault="00A070BD">
      <w:pPr>
        <w:pStyle w:val="T30X"/>
      </w:pPr>
      <w:r>
        <w:t>Djeca sa smetnjama vida su djeca sa dje</w:t>
      </w:r>
      <w:r>
        <w:t>limi</w:t>
      </w:r>
      <w:r>
        <w:t>č</w:t>
      </w:r>
      <w:r>
        <w:t>nim ili potpuno umanjenim sposobnostima vidnog sistema da prime nadražaje i razlikuju se:</w:t>
      </w:r>
    </w:p>
    <w:p w:rsidR="00000000" w:rsidRDefault="00A070BD">
      <w:pPr>
        <w:pStyle w:val="T30X"/>
        <w:ind w:left="567" w:hanging="283"/>
      </w:pPr>
      <w:r>
        <w:t xml:space="preserve">   - djeca sa slabovidoš</w:t>
      </w:r>
      <w:r>
        <w:t>ć</w:t>
      </w:r>
      <w:r>
        <w:t>u koja imaju smetnje u vizuelnoj percepciji, suženju vidnog polja, oštrine i preostalog vida.</w:t>
      </w:r>
    </w:p>
    <w:p w:rsidR="00000000" w:rsidRDefault="00A070BD">
      <w:pPr>
        <w:pStyle w:val="T30X"/>
        <w:ind w:left="567" w:hanging="283"/>
      </w:pPr>
      <w:r>
        <w:t xml:space="preserve">   - djeca bez ostatka vida koja imaju min</w:t>
      </w:r>
      <w:r>
        <w:t xml:space="preserve">imalni ostatak vida ili su bez ostatka vida u zavisnosti od stepena oštrine vida, prisustva percepcije svjetlosti, kvaliteta vidnog polja i upotrebe ostalih </w:t>
      </w:r>
      <w:r>
        <w:t>č</w:t>
      </w:r>
      <w:r>
        <w:t>ula.</w:t>
      </w:r>
    </w:p>
    <w:p w:rsidR="00000000" w:rsidRDefault="00A070BD">
      <w:pPr>
        <w:pStyle w:val="N01X"/>
      </w:pPr>
      <w:r>
        <w:t>Djeca sa smetnjama iz spektra autizma</w:t>
      </w:r>
    </w:p>
    <w:p w:rsidR="00000000" w:rsidRDefault="00A070BD">
      <w:pPr>
        <w:pStyle w:val="C30X"/>
      </w:pPr>
      <w:r>
        <w:t>Č</w:t>
      </w:r>
      <w:r>
        <w:t>lan 6a</w:t>
      </w:r>
    </w:p>
    <w:p w:rsidR="00000000" w:rsidRDefault="00A070BD">
      <w:pPr>
        <w:pStyle w:val="T30X"/>
      </w:pPr>
      <w:r>
        <w:t xml:space="preserve">Djeca sa smetnjama iz spektra autizma su djeca </w:t>
      </w:r>
      <w:r>
        <w:t>sa smetnjama u govoru i komunikaciji, u društvenom kontaktu, razmišljanju, ponašanju i senzornoj percepciji.</w:t>
      </w:r>
    </w:p>
    <w:p w:rsidR="00000000" w:rsidRDefault="00A070BD">
      <w:pPr>
        <w:pStyle w:val="N01X"/>
      </w:pPr>
      <w:r>
        <w:t>Djeca sa govorno-jezi</w:t>
      </w:r>
      <w:r>
        <w:t>č</w:t>
      </w:r>
      <w:r>
        <w:t>kim teško</w:t>
      </w:r>
      <w:r>
        <w:t>ć</w:t>
      </w:r>
      <w:r>
        <w:t>ama</w:t>
      </w:r>
    </w:p>
    <w:p w:rsidR="00000000" w:rsidRDefault="00A070BD">
      <w:pPr>
        <w:pStyle w:val="C30X"/>
      </w:pPr>
      <w:r>
        <w:t>Č</w:t>
      </w:r>
      <w:r>
        <w:t>lan 6b</w:t>
      </w:r>
    </w:p>
    <w:p w:rsidR="00000000" w:rsidRDefault="00A070BD">
      <w:pPr>
        <w:pStyle w:val="T30X"/>
      </w:pPr>
      <w:r>
        <w:t>Djeca sa govorno-jezi</w:t>
      </w:r>
      <w:r>
        <w:t>č</w:t>
      </w:r>
      <w:r>
        <w:t>kim teško</w:t>
      </w:r>
      <w:r>
        <w:t>ć</w:t>
      </w:r>
      <w:r>
        <w:t>ama su djeca sa teško</w:t>
      </w:r>
      <w:r>
        <w:t>ć</w:t>
      </w:r>
      <w:r>
        <w:t>ama u izgovoru glasova, razvoju produkcije i razu</w:t>
      </w:r>
      <w:r>
        <w:t xml:space="preserve">mijevanju govora, </w:t>
      </w:r>
      <w:r>
        <w:t>č</w:t>
      </w:r>
      <w:r>
        <w:t>itanju, pisanju, ritmu i tempu govora i razlikuju se:</w:t>
      </w:r>
    </w:p>
    <w:p w:rsidR="00000000" w:rsidRDefault="00A070BD">
      <w:pPr>
        <w:pStyle w:val="T30X"/>
        <w:ind w:left="567" w:hanging="283"/>
      </w:pPr>
      <w:r>
        <w:t xml:space="preserve">   - djeca sa lakšim do umjerenim govorno-jezi</w:t>
      </w:r>
      <w:r>
        <w:t>č</w:t>
      </w:r>
      <w:r>
        <w:t>kim teško</w:t>
      </w:r>
      <w:r>
        <w:t>ć</w:t>
      </w:r>
      <w:r>
        <w:t>ama, koja imaju teško</w:t>
      </w:r>
      <w:r>
        <w:t>ć</w:t>
      </w:r>
      <w:r>
        <w:t xml:space="preserve">e u izgovoru pojedinih glasova (dislalija), </w:t>
      </w:r>
      <w:r>
        <w:t>č</w:t>
      </w:r>
      <w:r>
        <w:t xml:space="preserve">itanju i pisanju (disleksija i disgrafija) i ritmu i tempu </w:t>
      </w:r>
      <w:r>
        <w:t>govora (mucanje);</w:t>
      </w:r>
    </w:p>
    <w:p w:rsidR="00000000" w:rsidRDefault="00A070BD">
      <w:pPr>
        <w:pStyle w:val="T30X"/>
        <w:ind w:left="567" w:hanging="283"/>
      </w:pPr>
      <w:r>
        <w:t xml:space="preserve">   - djeca sa težim do teškim govorno-jezi</w:t>
      </w:r>
      <w:r>
        <w:t>č</w:t>
      </w:r>
      <w:r>
        <w:t>kim teško</w:t>
      </w:r>
      <w:r>
        <w:t>ć</w:t>
      </w:r>
      <w:r>
        <w:t>ama, koja imaju razvojnu disfaziju i govor nerazumljiv za okolinu, a razvijaju komunikaciju gestovima ili s nekoliko dvosložnih rije</w:t>
      </w:r>
      <w:r>
        <w:t>č</w:t>
      </w:r>
      <w:r>
        <w:t>i i sl.</w:t>
      </w:r>
    </w:p>
    <w:p w:rsidR="00000000" w:rsidRDefault="00A070BD">
      <w:pPr>
        <w:pStyle w:val="N01X"/>
      </w:pPr>
      <w:r>
        <w:t>Djeca sa poreme</w:t>
      </w:r>
      <w:r>
        <w:t>ć</w:t>
      </w:r>
      <w:r>
        <w:t>ajima u ponašanju</w:t>
      </w:r>
    </w:p>
    <w:p w:rsidR="00000000" w:rsidRDefault="00A070BD">
      <w:pPr>
        <w:pStyle w:val="C30X"/>
      </w:pPr>
      <w:r>
        <w:t>Č</w:t>
      </w:r>
      <w:r>
        <w:t>lan 7</w:t>
      </w:r>
    </w:p>
    <w:p w:rsidR="00000000" w:rsidRDefault="00A070BD">
      <w:pPr>
        <w:pStyle w:val="T30X"/>
      </w:pPr>
      <w:r>
        <w:t>Dje</w:t>
      </w:r>
      <w:r>
        <w:t>ca sa poreme</w:t>
      </w:r>
      <w:r>
        <w:t>ć</w:t>
      </w:r>
      <w:r>
        <w:t xml:space="preserve">ajima u ponašanju su djeca </w:t>
      </w:r>
      <w:r>
        <w:t>č</w:t>
      </w:r>
      <w:r>
        <w:t>ije se ponašanje manifestuje neuspješnom socijalnom integracijom, agresivnoš</w:t>
      </w:r>
      <w:r>
        <w:t>ć</w:t>
      </w:r>
      <w:r>
        <w:t>u i/ili autoagresivnoš</w:t>
      </w:r>
      <w:r>
        <w:t>ć</w:t>
      </w:r>
      <w:r>
        <w:t>u, uživanjem psihoaktivnih supstanci, uništavanje tu</w:t>
      </w:r>
      <w:r>
        <w:t>đ</w:t>
      </w:r>
      <w:r>
        <w:t>e imovine, bježanjem od ku</w:t>
      </w:r>
      <w:r>
        <w:t>ć</w:t>
      </w:r>
      <w:r>
        <w:t xml:space="preserve">e, dužim izostajanjem sa nastave i </w:t>
      </w:r>
      <w:r>
        <w:t>dr.</w:t>
      </w:r>
    </w:p>
    <w:p w:rsidR="00000000" w:rsidRDefault="00A070BD">
      <w:pPr>
        <w:pStyle w:val="N01X"/>
      </w:pPr>
      <w:r>
        <w:t>Djeca sa teškim hroni</w:t>
      </w:r>
      <w:r>
        <w:t>č</w:t>
      </w:r>
      <w:r>
        <w:t>nim oboljenjima</w:t>
      </w:r>
    </w:p>
    <w:p w:rsidR="00000000" w:rsidRDefault="00A070BD">
      <w:pPr>
        <w:pStyle w:val="C30X"/>
      </w:pPr>
      <w:r>
        <w:t>Č</w:t>
      </w:r>
      <w:r>
        <w:t>lan 8</w:t>
      </w:r>
    </w:p>
    <w:p w:rsidR="00000000" w:rsidRDefault="00A070BD">
      <w:pPr>
        <w:pStyle w:val="T30X"/>
      </w:pPr>
      <w:r>
        <w:lastRenderedPageBreak/>
        <w:t>Djeca sa teškim hroni</w:t>
      </w:r>
      <w:r>
        <w:t>č</w:t>
      </w:r>
      <w:r>
        <w:t>nim oboljenjima su djeca sa oboljenjima srca i krvnih sudova, organa za disanje, varenje i izlu</w:t>
      </w:r>
      <w:r>
        <w:t>č</w:t>
      </w:r>
      <w:r>
        <w:t>ivanja, kože i potkožnog tkiva, centralnog i perifernog nervnog sistema, krvi, žlijezda s</w:t>
      </w:r>
      <w:r>
        <w:t>a unutrašnjim lu</w:t>
      </w:r>
      <w:r>
        <w:t>č</w:t>
      </w:r>
      <w:r>
        <w:t>enjem, psihijatrijskim, alergijskim, autoimunim, reumatološkim, metaboli</w:t>
      </w:r>
      <w:r>
        <w:t>č</w:t>
      </w:r>
      <w:r>
        <w:t>kim i malignim oboljenjima.</w:t>
      </w:r>
    </w:p>
    <w:p w:rsidR="00000000" w:rsidRDefault="00A070BD">
      <w:pPr>
        <w:pStyle w:val="N01X"/>
      </w:pPr>
      <w:r>
        <w:t>Djeca sa emocionalnim teško</w:t>
      </w:r>
      <w:r>
        <w:t>ć</w:t>
      </w:r>
      <w:r>
        <w:t>ama</w:t>
      </w:r>
    </w:p>
    <w:p w:rsidR="00000000" w:rsidRDefault="00A070BD">
      <w:pPr>
        <w:pStyle w:val="C30X"/>
      </w:pPr>
      <w:r>
        <w:t>Č</w:t>
      </w:r>
      <w:r>
        <w:t>lan 9</w:t>
      </w:r>
    </w:p>
    <w:p w:rsidR="00000000" w:rsidRDefault="00A070BD">
      <w:pPr>
        <w:pStyle w:val="T30X"/>
      </w:pPr>
      <w:r>
        <w:t>Djeca sa emocionalnim teško</w:t>
      </w:r>
      <w:r>
        <w:t>ć</w:t>
      </w:r>
      <w:r>
        <w:t>ama su djeca koja imaju teško</w:t>
      </w:r>
      <w:r>
        <w:t>ć</w:t>
      </w:r>
      <w:r>
        <w:t>e produženog trajanja, a ne situacionog p</w:t>
      </w:r>
      <w:r>
        <w:t>orijekla, ne razvijaju adekvatne socijalne relacije sa vršnjacima i odraslima i sl.</w:t>
      </w:r>
    </w:p>
    <w:p w:rsidR="00000000" w:rsidRDefault="00A070BD">
      <w:pPr>
        <w:pStyle w:val="N01X"/>
      </w:pPr>
      <w:r>
        <w:t>Djeca sa kombinovanim smetnjama u razvoju</w:t>
      </w:r>
    </w:p>
    <w:p w:rsidR="00000000" w:rsidRDefault="00A070BD">
      <w:pPr>
        <w:pStyle w:val="C30X"/>
      </w:pPr>
      <w:r>
        <w:t>Č</w:t>
      </w:r>
      <w:r>
        <w:t>lan 10</w:t>
      </w:r>
    </w:p>
    <w:p w:rsidR="00000000" w:rsidRDefault="00A070BD">
      <w:pPr>
        <w:pStyle w:val="T30X"/>
      </w:pPr>
      <w:r>
        <w:t>Djeca sa kombinovanim smetnjama u razvoju su djeca koja imaju više smetnji u razvoju sa akcentom na primarnoj smetnji.</w:t>
      </w:r>
    </w:p>
    <w:p w:rsidR="00000000" w:rsidRDefault="00A070BD">
      <w:pPr>
        <w:pStyle w:val="N01X"/>
      </w:pPr>
      <w:r>
        <w:t>Djeca sa dugotrajnim bolestima</w:t>
      </w:r>
    </w:p>
    <w:p w:rsidR="00000000" w:rsidRDefault="00A070BD">
      <w:pPr>
        <w:pStyle w:val="C30X"/>
      </w:pPr>
      <w:r>
        <w:t>Č</w:t>
      </w:r>
      <w:r>
        <w:t>lan 11</w:t>
      </w:r>
    </w:p>
    <w:p w:rsidR="00000000" w:rsidRDefault="00A070BD">
      <w:pPr>
        <w:pStyle w:val="T30X"/>
      </w:pPr>
      <w:r>
        <w:t>Djeca sa dugotrajnim bolestima su djeca koja imaju oboljenja raznog porijekla u trajanju dužem od tri mjeseca.</w:t>
      </w:r>
    </w:p>
    <w:p w:rsidR="00000000" w:rsidRDefault="00A070BD">
      <w:pPr>
        <w:pStyle w:val="N01X"/>
      </w:pPr>
      <w:r>
        <w:t>Djeca sa poteško</w:t>
      </w:r>
      <w:r>
        <w:t>ć</w:t>
      </w:r>
      <w:r>
        <w:t>ama u u</w:t>
      </w:r>
      <w:r>
        <w:t>č</w:t>
      </w:r>
      <w:r>
        <w:t>enju</w:t>
      </w:r>
    </w:p>
    <w:p w:rsidR="00000000" w:rsidRDefault="00A070BD">
      <w:pPr>
        <w:pStyle w:val="C30X"/>
      </w:pPr>
      <w:r>
        <w:t>Č</w:t>
      </w:r>
      <w:r>
        <w:t>lan 12</w:t>
      </w:r>
    </w:p>
    <w:p w:rsidR="00000000" w:rsidRDefault="00A070BD">
      <w:pPr>
        <w:pStyle w:val="T30X"/>
      </w:pPr>
      <w:r>
        <w:t>Djeca sa poteško</w:t>
      </w:r>
      <w:r>
        <w:t>ć</w:t>
      </w:r>
      <w:r>
        <w:t>ama u u</w:t>
      </w:r>
      <w:r>
        <w:t>č</w:t>
      </w:r>
      <w:r>
        <w:t>enju su djeca koja, zbog poznatih ili nepoz</w:t>
      </w:r>
      <w:r>
        <w:t>natih smetnji u djelovanju centralnog nervnog sistema, imaju problem sa pažnjom, pam</w:t>
      </w:r>
      <w:r>
        <w:t>ć</w:t>
      </w:r>
      <w:r>
        <w:t>enjem, mišljenjem, komunikacijom, emocionalnim sazrijevanjem i opšti uspjeh nedovoljan u dužem periodu.</w:t>
      </w:r>
    </w:p>
    <w:p w:rsidR="00000000" w:rsidRDefault="00A070BD">
      <w:pPr>
        <w:pStyle w:val="N01X"/>
      </w:pPr>
      <w:r>
        <w:t>Djeca sa teško</w:t>
      </w:r>
      <w:r>
        <w:t>ć</w:t>
      </w:r>
      <w:r>
        <w:t>ama uzrokovanim socijalnim, jezi</w:t>
      </w:r>
      <w:r>
        <w:t>č</w:t>
      </w:r>
      <w:r>
        <w:t>kim i kulturološkim</w:t>
      </w:r>
      <w:r>
        <w:t xml:space="preserve"> preprekama</w:t>
      </w:r>
    </w:p>
    <w:p w:rsidR="00000000" w:rsidRDefault="00A070BD">
      <w:pPr>
        <w:pStyle w:val="C30X"/>
      </w:pPr>
      <w:r>
        <w:t>Č</w:t>
      </w:r>
      <w:r>
        <w:t>lan 13</w:t>
      </w:r>
    </w:p>
    <w:p w:rsidR="00000000" w:rsidRDefault="00A070BD">
      <w:pPr>
        <w:pStyle w:val="T30X"/>
      </w:pPr>
      <w:r>
        <w:t>Djeca sa teško</w:t>
      </w:r>
      <w:r>
        <w:t>ć</w:t>
      </w:r>
      <w:r>
        <w:t>ama uzrokovanim socijalnim, jezi</w:t>
      </w:r>
      <w:r>
        <w:t>č</w:t>
      </w:r>
      <w:r>
        <w:t>kim i kulturološkim preprekama su djeca koja žive u nepovoljnim materijalnim i porodi</w:t>
      </w:r>
      <w:r>
        <w:t>č</w:t>
      </w:r>
      <w:r>
        <w:t>nim uslovima (bez adekvatnog roditeljskog staranja, žrtve i svjedoci nasilja u porodici, prisustvo inv</w:t>
      </w:r>
      <w:r>
        <w:t>aliditeta, tjelesne i bolesti zavisnosti i sl.) i djeca koja žive u porodicama sa nepovoljnim kulturološkim i jezi</w:t>
      </w:r>
      <w:r>
        <w:t>č</w:t>
      </w:r>
      <w:r>
        <w:t>kim faktorima.</w:t>
      </w:r>
    </w:p>
    <w:p w:rsidR="00000000" w:rsidRDefault="00A070BD">
      <w:pPr>
        <w:pStyle w:val="N01X"/>
      </w:pPr>
      <w:r>
        <w:t>Obezbje</w:t>
      </w:r>
      <w:r>
        <w:t>đ</w:t>
      </w:r>
      <w:r>
        <w:t>ivanje uslova prema posebnim obrazovnim potrebama djeteta</w:t>
      </w:r>
    </w:p>
    <w:p w:rsidR="00000000" w:rsidRDefault="00A070BD">
      <w:pPr>
        <w:pStyle w:val="C30X"/>
      </w:pPr>
      <w:r>
        <w:t>Č</w:t>
      </w:r>
      <w:r>
        <w:t>lan 14</w:t>
      </w:r>
    </w:p>
    <w:p w:rsidR="00000000" w:rsidRDefault="00A070BD">
      <w:pPr>
        <w:pStyle w:val="T30X"/>
      </w:pPr>
      <w:r>
        <w:t>Predškolska ustanova, ustanova osnovnog, opšteg sred</w:t>
      </w:r>
      <w:r>
        <w:t>njeg i stru</w:t>
      </w:r>
      <w:r>
        <w:t>č</w:t>
      </w:r>
      <w:r>
        <w:t>nog obrazovanja i vaspitanja i resursni centar (u daljem tekstu: ustanova), u skladu sa mogu</w:t>
      </w:r>
      <w:r>
        <w:t>ć</w:t>
      </w:r>
      <w:r>
        <w:t>nostima, rješenjem o usmjeravanju i individualnim programom, obezbje</w:t>
      </w:r>
      <w:r>
        <w:t>đ</w:t>
      </w:r>
      <w:r>
        <w:t>uje uslove prema posebnoj obrazovnoj potrebi djeteta tako što prilago</w:t>
      </w:r>
      <w:r>
        <w:t>đ</w:t>
      </w:r>
      <w:r>
        <w:t>ava prostor,</w:t>
      </w:r>
      <w:r>
        <w:t xml:space="preserve"> opremu i nastavna sredstva.</w:t>
      </w:r>
    </w:p>
    <w:p w:rsidR="00000000" w:rsidRDefault="00A070BD">
      <w:pPr>
        <w:pStyle w:val="T30X"/>
      </w:pPr>
      <w:r>
        <w:t>Asistent u nastavi obezbje</w:t>
      </w:r>
      <w:r>
        <w:t>đ</w:t>
      </w:r>
      <w:r>
        <w:t>uje se za djecu sa teškim tjelesnim smetnjama, umjerenim intelektualnim smetnjama, bez ostatka vida, potpunim gubitkom sluha i autizmom, u skladu sa rješenjem o usmjeravanju i individualnim razvojno-o</w:t>
      </w:r>
      <w:r>
        <w:t>brazovnim programom (funkcionalnom procjenom obrazovnih, razvojnih potreba i ciljeva za dijete).</w:t>
      </w:r>
    </w:p>
    <w:p w:rsidR="00000000" w:rsidRDefault="00A070BD">
      <w:pPr>
        <w:pStyle w:val="N01X"/>
      </w:pPr>
      <w:r>
        <w:t>Obezbje</w:t>
      </w:r>
      <w:r>
        <w:t>đ</w:t>
      </w:r>
      <w:r>
        <w:t>ivanje uslova</w:t>
      </w:r>
    </w:p>
    <w:p w:rsidR="00000000" w:rsidRDefault="00A070BD">
      <w:pPr>
        <w:pStyle w:val="C30X"/>
      </w:pPr>
      <w:r>
        <w:t>Č</w:t>
      </w:r>
      <w:r>
        <w:t>lan 15</w:t>
      </w:r>
    </w:p>
    <w:p w:rsidR="00000000" w:rsidRDefault="00A070BD">
      <w:pPr>
        <w:pStyle w:val="T30X"/>
      </w:pPr>
      <w:r>
        <w:t>Ustanova obezbje</w:t>
      </w:r>
      <w:r>
        <w:t>đ</w:t>
      </w:r>
      <w:r>
        <w:t>uje djeci:</w:t>
      </w:r>
    </w:p>
    <w:p w:rsidR="00000000" w:rsidRDefault="00A070BD">
      <w:pPr>
        <w:pStyle w:val="T30X"/>
        <w:ind w:left="567" w:hanging="283"/>
      </w:pPr>
      <w:r>
        <w:t xml:space="preserve">   - sa tjelesnim smetnjama pristup zgradi, priboru, opremi, prostor za kretanje, po potrebi tehnološ</w:t>
      </w:r>
      <w:r>
        <w:t>ka pomagala, pomo</w:t>
      </w:r>
      <w:r>
        <w:t>ć</w:t>
      </w:r>
      <w:r>
        <w:t xml:space="preserve"> resursnog centra od momenta otkrivanja smetnje.</w:t>
      </w:r>
    </w:p>
    <w:p w:rsidR="00000000" w:rsidRDefault="00A070BD">
      <w:pPr>
        <w:pStyle w:val="T30X"/>
        <w:ind w:left="567" w:hanging="283"/>
      </w:pPr>
      <w:r>
        <w:t xml:space="preserve">   - sa intelektualnim smetnjama o</w:t>
      </w:r>
      <w:r>
        <w:t>č</w:t>
      </w:r>
      <w:r>
        <w:t>igledna nastavna sredstava, uklanjaju i smanjuju ometaju</w:t>
      </w:r>
      <w:r>
        <w:t>ć</w:t>
      </w:r>
      <w:r>
        <w:t>e faktore, pomo</w:t>
      </w:r>
      <w:r>
        <w:t>ć</w:t>
      </w:r>
      <w:r>
        <w:t xml:space="preserve"> resursnog centra od momenta otkrivanja smetnje.</w:t>
      </w:r>
    </w:p>
    <w:p w:rsidR="00000000" w:rsidRDefault="00A070BD">
      <w:pPr>
        <w:pStyle w:val="T30X"/>
        <w:ind w:left="567" w:hanging="283"/>
      </w:pPr>
      <w:r>
        <w:t xml:space="preserve">   - sa smetnjama vida mjesto u </w:t>
      </w:r>
      <w:r>
        <w:t>u</w:t>
      </w:r>
      <w:r>
        <w:t>č</w:t>
      </w:r>
      <w:r>
        <w:t>ionici sa koga se najbolje vidi tabla, slobodne puteve do table, bezbjedno okruženje, nastavna sredstva, materijal, adekvatnu obrazovnu tehnologiju i dodatna znanja o njima, pomo</w:t>
      </w:r>
      <w:r>
        <w:t>ć</w:t>
      </w:r>
      <w:r>
        <w:t xml:space="preserve"> resursnog centra od momenta otkrivanja smetnje.</w:t>
      </w:r>
    </w:p>
    <w:p w:rsidR="00000000" w:rsidRDefault="00A070BD">
      <w:pPr>
        <w:pStyle w:val="T30X"/>
        <w:ind w:left="567" w:hanging="283"/>
      </w:pPr>
      <w:r>
        <w:lastRenderedPageBreak/>
        <w:t xml:space="preserve">   - nagluvoj i gluvoj da </w:t>
      </w:r>
      <w:r>
        <w:t>sjede blizu nastavnika, otklanjaju se ometaju</w:t>
      </w:r>
      <w:r>
        <w:t>ć</w:t>
      </w:r>
      <w:r>
        <w:t>i zvuci, neometan pogled u toku komunikacije, prilago</w:t>
      </w:r>
      <w:r>
        <w:t>đ</w:t>
      </w:r>
      <w:r>
        <w:t>en didakti</w:t>
      </w:r>
      <w:r>
        <w:t>č</w:t>
      </w:r>
      <w:r>
        <w:t>ki materijal, adekvatnu obrazovnu tehnologiju i dodatna znanja o njima.</w:t>
      </w:r>
    </w:p>
    <w:p w:rsidR="00000000" w:rsidRDefault="00A070BD">
      <w:pPr>
        <w:pStyle w:val="T30X"/>
        <w:ind w:left="567" w:hanging="283"/>
      </w:pPr>
      <w:r>
        <w:t xml:space="preserve">   - sa autizmom jasne fizi</w:t>
      </w:r>
      <w:r>
        <w:t>č</w:t>
      </w:r>
      <w:r>
        <w:t>ke i vizuelne granice (ozna</w:t>
      </w:r>
      <w:r>
        <w:t>č</w:t>
      </w:r>
      <w:r>
        <w:t>avanje, ograni</w:t>
      </w:r>
      <w:r>
        <w:t>č</w:t>
      </w:r>
      <w:r>
        <w:t>av</w:t>
      </w:r>
      <w:r>
        <w:t>anje prostora i sl.), jasna i precizna uputstva i dnevni raspored, otklanjanje vizuelnih i auditivnih odvla</w:t>
      </w:r>
      <w:r>
        <w:t>č</w:t>
      </w:r>
      <w:r>
        <w:t>enja pažnje, pomo</w:t>
      </w:r>
      <w:r>
        <w:t>ć</w:t>
      </w:r>
      <w:r>
        <w:t xml:space="preserve"> resursnog centra od momenta otkrivanja smetnje.</w:t>
      </w:r>
    </w:p>
    <w:p w:rsidR="00000000" w:rsidRDefault="00A070BD">
      <w:pPr>
        <w:pStyle w:val="T30X"/>
        <w:ind w:left="567" w:hanging="283"/>
      </w:pPr>
      <w:r>
        <w:t xml:space="preserve">   - sa govorno-jezi</w:t>
      </w:r>
      <w:r>
        <w:t>č</w:t>
      </w:r>
      <w:r>
        <w:t>kim teško</w:t>
      </w:r>
      <w:r>
        <w:t>ć</w:t>
      </w:r>
      <w:r>
        <w:t>ama, shodno utvr</w:t>
      </w:r>
      <w:r>
        <w:t>đ</w:t>
      </w:r>
      <w:r>
        <w:t>enoj teško</w:t>
      </w:r>
      <w:r>
        <w:t>ć</w:t>
      </w:r>
      <w:r>
        <w:t>i sažetke, ve</w:t>
      </w:r>
      <w:r>
        <w:t>ć</w:t>
      </w:r>
      <w:r>
        <w:t>i i pode</w:t>
      </w:r>
      <w:r>
        <w:t>bljani font obrazovnog materijala, prilago</w:t>
      </w:r>
      <w:r>
        <w:t>đ</w:t>
      </w:r>
      <w:r>
        <w:t>ene pismene zadatke i vrijeme za rješavanje, pomo</w:t>
      </w:r>
      <w:r>
        <w:t>ć</w:t>
      </w:r>
      <w:r>
        <w:t xml:space="preserve"> resursnog centra od momenta otkrivanja smetnje.</w:t>
      </w:r>
    </w:p>
    <w:p w:rsidR="00000000" w:rsidRDefault="00A070BD">
      <w:pPr>
        <w:pStyle w:val="T30X"/>
        <w:ind w:left="567" w:hanging="283"/>
      </w:pPr>
      <w:r>
        <w:t xml:space="preserve">   - sa teško</w:t>
      </w:r>
      <w:r>
        <w:t>ć</w:t>
      </w:r>
      <w:r>
        <w:t>ama pažnje mjesto pored katedre, otklanjanje svega što remeti pažnju i dr.</w:t>
      </w:r>
    </w:p>
    <w:p w:rsidR="00000000" w:rsidRDefault="00A070BD">
      <w:pPr>
        <w:pStyle w:val="T30X"/>
        <w:ind w:left="567" w:hanging="283"/>
      </w:pPr>
      <w:r>
        <w:t xml:space="preserve">   - sa teško</w:t>
      </w:r>
      <w:r>
        <w:t>ć</w:t>
      </w:r>
      <w:r>
        <w:t>ama uzrokov</w:t>
      </w:r>
      <w:r>
        <w:t>anim socijalnim, jezi</w:t>
      </w:r>
      <w:r>
        <w:t>č</w:t>
      </w:r>
      <w:r>
        <w:t>kim i kulturološkim preprekama psihosocijalnu podršku, dopunsku nastavu za prevazilaženje jezi</w:t>
      </w:r>
      <w:r>
        <w:t>č</w:t>
      </w:r>
      <w:r>
        <w:t>kih barijera, i dr.</w:t>
      </w:r>
    </w:p>
    <w:p w:rsidR="00000000" w:rsidRDefault="00A070BD">
      <w:pPr>
        <w:pStyle w:val="N01X"/>
      </w:pPr>
      <w:r>
        <w:t>Interes djeteta</w:t>
      </w:r>
    </w:p>
    <w:p w:rsidR="00000000" w:rsidRDefault="00A070BD">
      <w:pPr>
        <w:pStyle w:val="C30X"/>
      </w:pPr>
      <w:r>
        <w:t>Č</w:t>
      </w:r>
      <w:r>
        <w:t>lan 16</w:t>
      </w:r>
    </w:p>
    <w:p w:rsidR="00000000" w:rsidRDefault="00A070BD">
      <w:pPr>
        <w:pStyle w:val="T30X"/>
      </w:pPr>
      <w:r>
        <w:t>Ukoliko roditelji djeteta ne sara</w:t>
      </w:r>
      <w:r>
        <w:t>đ</w:t>
      </w:r>
      <w:r>
        <w:t>uju ili postupaju na na</w:t>
      </w:r>
      <w:r>
        <w:t>č</w:t>
      </w:r>
      <w:r>
        <w:t xml:space="preserve">in koji je u suprotnosti sa najboljim interesom djeteta ustanova </w:t>
      </w:r>
      <w:r>
        <w:t>ć</w:t>
      </w:r>
      <w:r>
        <w:t>e obavijestiti nadležnu ustanovu socijalne i dje</w:t>
      </w:r>
      <w:r>
        <w:t>č</w:t>
      </w:r>
      <w:r>
        <w:t>je zaštite.</w:t>
      </w:r>
    </w:p>
    <w:p w:rsidR="00000000" w:rsidRDefault="00A070BD">
      <w:pPr>
        <w:pStyle w:val="N01X"/>
      </w:pPr>
      <w:r>
        <w:t>Sastav prvostepene komisije</w:t>
      </w:r>
    </w:p>
    <w:p w:rsidR="00000000" w:rsidRDefault="00A070BD">
      <w:pPr>
        <w:pStyle w:val="C30X"/>
      </w:pPr>
      <w:r>
        <w:t>Č</w:t>
      </w:r>
      <w:r>
        <w:t>lan 17</w:t>
      </w:r>
    </w:p>
    <w:p w:rsidR="00000000" w:rsidRDefault="00A070BD">
      <w:pPr>
        <w:pStyle w:val="T30X"/>
      </w:pPr>
      <w:r>
        <w:t xml:space="preserve">Prvostepenu komisiju, saglasno </w:t>
      </w:r>
      <w:r>
        <w:t>č</w:t>
      </w:r>
      <w:r>
        <w:t>lanu 19 Zakona o vaspitanju i obrazovanju djece sa posebnim o</w:t>
      </w:r>
      <w:r>
        <w:t xml:space="preserve">brazovnim potrebama, </w:t>
      </w:r>
      <w:r>
        <w:t>č</w:t>
      </w:r>
      <w:r>
        <w:t>ine: pedijatar i doktor odgovaraju</w:t>
      </w:r>
      <w:r>
        <w:t>ć</w:t>
      </w:r>
      <w:r>
        <w:t>e specijalnosti, psiholog, pedagog, defektolog odgovaraju</w:t>
      </w:r>
      <w:r>
        <w:t>ć</w:t>
      </w:r>
      <w:r>
        <w:t>e specijalnosti i socijalni radnik. Doktor odre</w:t>
      </w:r>
      <w:r>
        <w:t>đ</w:t>
      </w:r>
      <w:r>
        <w:t>ene specijalnosti i defektolog odgovaraju</w:t>
      </w:r>
      <w:r>
        <w:t>ć</w:t>
      </w:r>
      <w:r>
        <w:t>e specijalnosti uklju</w:t>
      </w:r>
      <w:r>
        <w:t>č</w:t>
      </w:r>
      <w:r>
        <w:t>uju se u rad komisije zavisno</w:t>
      </w:r>
      <w:r>
        <w:t xml:space="preserve"> od posebne obrazovne potrebe djeteta.</w:t>
      </w:r>
    </w:p>
    <w:p w:rsidR="00000000" w:rsidRDefault="00A070BD">
      <w:pPr>
        <w:pStyle w:val="T30X"/>
      </w:pPr>
      <w:r>
        <w:t>Psiholog, pedagog i defektolog, po pravilu, imenuju se iz ustanova sa podru</w:t>
      </w:r>
      <w:r>
        <w:t>č</w:t>
      </w:r>
      <w:r>
        <w:t xml:space="preserve">ja jedinice lokalne samouprave </w:t>
      </w:r>
      <w:r>
        <w:t>č</w:t>
      </w:r>
      <w:r>
        <w:t>ijoj tritoriji pripadaju te ustanove, uz pribavljeno mišljenje organa državne uprave nadležnog za poslove pro</w:t>
      </w:r>
      <w:r>
        <w:t>svjete.</w:t>
      </w:r>
    </w:p>
    <w:p w:rsidR="00000000" w:rsidRDefault="00A070BD">
      <w:pPr>
        <w:pStyle w:val="N01X"/>
      </w:pPr>
      <w:r>
        <w:t>Rad prvostepene komisije</w:t>
      </w:r>
    </w:p>
    <w:p w:rsidR="00000000" w:rsidRDefault="00A070BD">
      <w:pPr>
        <w:pStyle w:val="C30X"/>
      </w:pPr>
      <w:r>
        <w:t>Č</w:t>
      </w:r>
      <w:r>
        <w:t>lan 18</w:t>
      </w:r>
    </w:p>
    <w:p w:rsidR="00000000" w:rsidRDefault="00A070BD">
      <w:pPr>
        <w:pStyle w:val="T30X"/>
      </w:pPr>
      <w:r>
        <w:t>Prvostepena komisija daje predlog na osnovu neposrednog pregleda djeteta, zdravstvene, pedagoške, psihološke i socijalne dokumentacije, kao i druge dokumentacije od uticaja na utvr</w:t>
      </w:r>
      <w:r>
        <w:t>đ</w:t>
      </w:r>
      <w:r>
        <w:t xml:space="preserve">ivanje posebne potrebe, razgovara </w:t>
      </w:r>
      <w:r>
        <w:t>sa roditeljem, vaspita</w:t>
      </w:r>
      <w:r>
        <w:t>č</w:t>
      </w:r>
      <w:r>
        <w:t>em, odnosno u</w:t>
      </w:r>
      <w:r>
        <w:t>č</w:t>
      </w:r>
      <w:r>
        <w:t>iteljem (nastavnikom) kao i olakšavaju</w:t>
      </w:r>
      <w:r>
        <w:t>ć</w:t>
      </w:r>
      <w:r>
        <w:t>ih i otežavaju</w:t>
      </w:r>
      <w:r>
        <w:t>ć</w:t>
      </w:r>
      <w:r>
        <w:t>ih faktora sredine koji pospješuju ili otežavaju u</w:t>
      </w:r>
      <w:r>
        <w:t>č</w:t>
      </w:r>
      <w:r>
        <w:t>eš</w:t>
      </w:r>
      <w:r>
        <w:t>ć</w:t>
      </w:r>
      <w:r>
        <w:t>e u vaspitanju i obrazovanju kada stupe u interakciju sa smetnjama i teško</w:t>
      </w:r>
      <w:r>
        <w:t>ć</w:t>
      </w:r>
      <w:r>
        <w:t>ama u razvoju.</w:t>
      </w:r>
    </w:p>
    <w:p w:rsidR="00000000" w:rsidRDefault="00A070BD">
      <w:pPr>
        <w:pStyle w:val="T30X"/>
      </w:pPr>
      <w:r>
        <w:t>Ako je postupak usmje</w:t>
      </w:r>
      <w:r>
        <w:t>ravanja djeteta pokrenut nakon zapo</w:t>
      </w:r>
      <w:r>
        <w:t>č</w:t>
      </w:r>
      <w:r>
        <w:t xml:space="preserve">etog obrazovanja, na zahtjev organa lokalne uprave, ustanova </w:t>
      </w:r>
      <w:r>
        <w:t>ć</w:t>
      </w:r>
      <w:r>
        <w:t>e dostaviti izvještaj o obrazovnim postignu</w:t>
      </w:r>
      <w:r>
        <w:t>ć</w:t>
      </w:r>
      <w:r>
        <w:t>ima djeteta i njegovom funkcionisanju za period do pokretanja postupka.</w:t>
      </w:r>
    </w:p>
    <w:p w:rsidR="00000000" w:rsidRDefault="00A070BD">
      <w:pPr>
        <w:pStyle w:val="T30X"/>
      </w:pPr>
      <w:r>
        <w:t>Prvostepena komisija može, ako je to potre</w:t>
      </w:r>
      <w:r>
        <w:t>bno, da pribavi mišljenje pojedinih stru</w:t>
      </w:r>
      <w:r>
        <w:t>č</w:t>
      </w:r>
      <w:r>
        <w:t>njaka, ili stru</w:t>
      </w:r>
      <w:r>
        <w:t>č</w:t>
      </w:r>
      <w:r>
        <w:t>nih institucija upu</w:t>
      </w:r>
      <w:r>
        <w:t>ć</w:t>
      </w:r>
      <w:r>
        <w:t>ivanjem djeteta na ispitivanje (opservaciju) u odgovaraju</w:t>
      </w:r>
      <w:r>
        <w:t>ć</w:t>
      </w:r>
      <w:r>
        <w:t>u instituciju.</w:t>
      </w:r>
    </w:p>
    <w:p w:rsidR="00000000" w:rsidRDefault="00A070BD">
      <w:pPr>
        <w:pStyle w:val="N01X"/>
      </w:pPr>
      <w:r>
        <w:t>Prijedlog prvostepene komisije</w:t>
      </w:r>
    </w:p>
    <w:p w:rsidR="00000000" w:rsidRDefault="00A070BD">
      <w:pPr>
        <w:pStyle w:val="C30X"/>
      </w:pPr>
      <w:r>
        <w:t>Č</w:t>
      </w:r>
      <w:r>
        <w:t>lan 19</w:t>
      </w:r>
    </w:p>
    <w:p w:rsidR="00000000" w:rsidRDefault="00A070BD">
      <w:pPr>
        <w:pStyle w:val="T30X"/>
      </w:pPr>
      <w:r>
        <w:t xml:space="preserve">Svaki </w:t>
      </w:r>
      <w:r>
        <w:t>č</w:t>
      </w:r>
      <w:r>
        <w:t>lan prvostepene komisije daje pisano mišljenje o djetetu koj</w:t>
      </w:r>
      <w:r>
        <w:t>e se usmjerava u odgovaraju</w:t>
      </w:r>
      <w:r>
        <w:t>ć</w:t>
      </w:r>
      <w:r>
        <w:t xml:space="preserve">i obrazovni program koji je dat na Obrascu br. 1 koji </w:t>
      </w:r>
      <w:r>
        <w:t>č</w:t>
      </w:r>
      <w:r>
        <w:t>ini sastavni dio ovog pravilnika.</w:t>
      </w:r>
    </w:p>
    <w:p w:rsidR="00000000" w:rsidRDefault="00A070BD">
      <w:pPr>
        <w:pStyle w:val="T30X"/>
      </w:pPr>
      <w:r>
        <w:t xml:space="preserve">Prvostepena komisija za svako dijete daje prijedlog o usmjeravanju koji je dat na Obrascu br. 2 koji </w:t>
      </w:r>
      <w:r>
        <w:t>č</w:t>
      </w:r>
      <w:r>
        <w:t>ini sastavni dio ovog pravilnika.</w:t>
      </w:r>
    </w:p>
    <w:p w:rsidR="00000000" w:rsidRDefault="00A070BD">
      <w:pPr>
        <w:pStyle w:val="N01X"/>
      </w:pPr>
      <w:r>
        <w:t>Zap</w:t>
      </w:r>
      <w:r>
        <w:t>isnik</w:t>
      </w:r>
    </w:p>
    <w:p w:rsidR="00000000" w:rsidRDefault="00A070BD">
      <w:pPr>
        <w:pStyle w:val="C30X"/>
      </w:pPr>
      <w:r>
        <w:t>Č</w:t>
      </w:r>
      <w:r>
        <w:t>lan 20</w:t>
      </w:r>
    </w:p>
    <w:p w:rsidR="00000000" w:rsidRDefault="00A070BD">
      <w:pPr>
        <w:pStyle w:val="T30X"/>
      </w:pPr>
      <w:r>
        <w:t>O radu prvostepene komisije vodi se zapisnik sa sjednice i registar usmjerene djece.</w:t>
      </w:r>
    </w:p>
    <w:p w:rsidR="00000000" w:rsidRDefault="00A070BD">
      <w:pPr>
        <w:pStyle w:val="T30X"/>
      </w:pPr>
      <w:r>
        <w:t>Zapisnik je povjerljiv.</w:t>
      </w:r>
    </w:p>
    <w:p w:rsidR="00000000" w:rsidRDefault="00A070BD">
      <w:pPr>
        <w:pStyle w:val="N01X"/>
      </w:pPr>
      <w:r>
        <w:t>Dostavljanje rješenja prvostepene komisije</w:t>
      </w:r>
    </w:p>
    <w:p w:rsidR="00000000" w:rsidRDefault="00A070BD">
      <w:pPr>
        <w:pStyle w:val="C30X"/>
      </w:pPr>
      <w:r>
        <w:lastRenderedPageBreak/>
        <w:t>Č</w:t>
      </w:r>
      <w:r>
        <w:t>lan 21</w:t>
      </w:r>
    </w:p>
    <w:p w:rsidR="00000000" w:rsidRDefault="00A070BD">
      <w:pPr>
        <w:pStyle w:val="T30X"/>
      </w:pPr>
      <w:r>
        <w:t>Organ lokalne uprave nadležan za poslove prosvjete, dostavlja rješenje o usmjerava</w:t>
      </w:r>
      <w:r>
        <w:t>nju djeteta sa posebnom obrazovnom potrebom u odgovaraju</w:t>
      </w:r>
      <w:r>
        <w:t>ć</w:t>
      </w:r>
      <w:r>
        <w:t>i obrazovni program organima državne uprave nadležnim za poslove prosvjete, zdravstvene i socijalne zaštite i ustanovi u koju se dijete usmjerava, najkasnije u roku od osam dana od dana donošenja rje</w:t>
      </w:r>
      <w:r>
        <w:t>šenja.</w:t>
      </w:r>
    </w:p>
    <w:p w:rsidR="00000000" w:rsidRDefault="00A070BD">
      <w:pPr>
        <w:pStyle w:val="N01X"/>
      </w:pPr>
      <w:r>
        <w:t>Sastav Drugostepene komisije</w:t>
      </w:r>
    </w:p>
    <w:p w:rsidR="00000000" w:rsidRDefault="00A070BD">
      <w:pPr>
        <w:pStyle w:val="C30X"/>
      </w:pPr>
      <w:r>
        <w:t>Č</w:t>
      </w:r>
      <w:r>
        <w:t>lan 22</w:t>
      </w:r>
    </w:p>
    <w:p w:rsidR="00000000" w:rsidRDefault="00A070BD">
      <w:pPr>
        <w:pStyle w:val="T30X"/>
      </w:pPr>
      <w:r>
        <w:t xml:space="preserve">Drugostepenu komisiju, saglasno </w:t>
      </w:r>
      <w:r>
        <w:t>č</w:t>
      </w:r>
      <w:r>
        <w:t xml:space="preserve">lanu 22 Zakona o vaspitanju i obrazovanju djece sa posebnim obrazovnim potrebama, </w:t>
      </w:r>
      <w:r>
        <w:t>č</w:t>
      </w:r>
      <w:r>
        <w:t>ine: pedijatar i doktor odgovaraju</w:t>
      </w:r>
      <w:r>
        <w:t>ć</w:t>
      </w:r>
      <w:r>
        <w:t>e specijalnosti, defektolog, psiholog, pedagog, socijalni rad</w:t>
      </w:r>
      <w:r>
        <w:t>nik i u</w:t>
      </w:r>
      <w:r>
        <w:t>č</w:t>
      </w:r>
      <w:r>
        <w:t>itelj, odnosno vaspita</w:t>
      </w:r>
      <w:r>
        <w:t>č</w:t>
      </w:r>
      <w:r>
        <w:t xml:space="preserve">. Za </w:t>
      </w:r>
      <w:r>
        <w:t>č</w:t>
      </w:r>
      <w:r>
        <w:t xml:space="preserve">lana Drugostepene komisije ne može biti imenovan </w:t>
      </w:r>
      <w:r>
        <w:t>č</w:t>
      </w:r>
      <w:r>
        <w:t>lan prvostepene komisije.</w:t>
      </w:r>
    </w:p>
    <w:p w:rsidR="00000000" w:rsidRDefault="00A070BD">
      <w:pPr>
        <w:pStyle w:val="N01X"/>
      </w:pPr>
      <w:r>
        <w:t>Mišljenje Drugostepene komisije</w:t>
      </w:r>
    </w:p>
    <w:p w:rsidR="00000000" w:rsidRDefault="00A070BD">
      <w:pPr>
        <w:pStyle w:val="C30X"/>
      </w:pPr>
      <w:r>
        <w:t>Č</w:t>
      </w:r>
      <w:r>
        <w:t>lan 23</w:t>
      </w:r>
    </w:p>
    <w:p w:rsidR="00000000" w:rsidRDefault="00A070BD">
      <w:pPr>
        <w:pStyle w:val="T30X"/>
      </w:pPr>
      <w:r>
        <w:t>Drugostepena komisija daje mišljenje na osnovu neposredne funkcionalne procjene djeteta, ocjene prijedloga prvostepene komisije i druge dokumentacije.</w:t>
      </w:r>
    </w:p>
    <w:p w:rsidR="00000000" w:rsidRDefault="00A070BD">
      <w:pPr>
        <w:pStyle w:val="T30X"/>
      </w:pPr>
      <w:r>
        <w:t>Drugostepena komisija može zahtijevati dodatnu dokumentaciju od ustanove, ustanova zdravstvene i socijaln</w:t>
      </w:r>
      <w:r>
        <w:t>e zaštite i drugih ustanova, a ukoliko je to potrebno, može, u postupku pripreme stru</w:t>
      </w:r>
      <w:r>
        <w:t>č</w:t>
      </w:r>
      <w:r>
        <w:t>nog mišljenja, pribaviti mišljenje pojedinih stru</w:t>
      </w:r>
      <w:r>
        <w:t>č</w:t>
      </w:r>
      <w:r>
        <w:t>njaka, ili stru</w:t>
      </w:r>
      <w:r>
        <w:t>č</w:t>
      </w:r>
      <w:r>
        <w:t>nih institucija.</w:t>
      </w:r>
    </w:p>
    <w:p w:rsidR="00000000" w:rsidRDefault="00A070BD">
      <w:pPr>
        <w:pStyle w:val="T30X"/>
      </w:pPr>
      <w:r>
        <w:t>Drugostepena komisija za svako dijete daje mišljenje o usmjeravanju u odgovaraju</w:t>
      </w:r>
      <w:r>
        <w:t>ć</w:t>
      </w:r>
      <w:r>
        <w:t>i obra</w:t>
      </w:r>
      <w:r>
        <w:t xml:space="preserve">zovni program koji je dat na Obrascu br. 1 koji </w:t>
      </w:r>
      <w:r>
        <w:t>č</w:t>
      </w:r>
      <w:r>
        <w:t>ini sastavni dio ovog pravilnika.</w:t>
      </w:r>
    </w:p>
    <w:p w:rsidR="00000000" w:rsidRDefault="00A070BD">
      <w:pPr>
        <w:pStyle w:val="N01X"/>
      </w:pPr>
      <w:r>
        <w:t xml:space="preserve">Predsjednik i </w:t>
      </w:r>
      <w:r>
        <w:t>č</w:t>
      </w:r>
      <w:r>
        <w:t>lanovi komisije</w:t>
      </w:r>
    </w:p>
    <w:p w:rsidR="00000000" w:rsidRDefault="00A070BD">
      <w:pPr>
        <w:pStyle w:val="C30X"/>
      </w:pPr>
      <w:r>
        <w:t>Č</w:t>
      </w:r>
      <w:r>
        <w:t>lan 24</w:t>
      </w:r>
    </w:p>
    <w:p w:rsidR="00000000" w:rsidRDefault="00A070BD">
      <w:pPr>
        <w:pStyle w:val="T30X"/>
      </w:pPr>
      <w:r>
        <w:t xml:space="preserve">Radom prvostepene i Drugostepene komisije (u daljem tekstu: komisija) rukovodi predsjednik koga biraju </w:t>
      </w:r>
      <w:r>
        <w:t>č</w:t>
      </w:r>
      <w:r>
        <w:t xml:space="preserve">lanovi komisije iz reda </w:t>
      </w:r>
      <w:r>
        <w:t>č</w:t>
      </w:r>
      <w:r>
        <w:t>lanov</w:t>
      </w:r>
      <w:r>
        <w:t>a komisije koji se imenuju iz ustanova.</w:t>
      </w:r>
    </w:p>
    <w:p w:rsidR="00000000" w:rsidRDefault="00A070BD">
      <w:pPr>
        <w:pStyle w:val="T30X"/>
      </w:pPr>
      <w:r>
        <w:t xml:space="preserve">Predsjednik i svaki </w:t>
      </w:r>
      <w:r>
        <w:t>č</w:t>
      </w:r>
      <w:r>
        <w:t>lan komisije imaju svoje zamjenike.</w:t>
      </w:r>
    </w:p>
    <w:p w:rsidR="00000000" w:rsidRDefault="00A070BD">
      <w:pPr>
        <w:pStyle w:val="T30X"/>
      </w:pPr>
      <w:r>
        <w:t xml:space="preserve">Svaki </w:t>
      </w:r>
      <w:r>
        <w:t>č</w:t>
      </w:r>
      <w:r>
        <w:t xml:space="preserve">lan komisije priprema mišljenje o djetetu i izvještaj i vodi dokumentaciju o svom radu koja se </w:t>
      </w:r>
      <w:r>
        <w:t>č</w:t>
      </w:r>
      <w:r>
        <w:t>uva pri sjedištu komisije i koja je povjerljiva.</w:t>
      </w:r>
    </w:p>
    <w:p w:rsidR="00000000" w:rsidRDefault="00A070BD">
      <w:pPr>
        <w:pStyle w:val="T30X"/>
      </w:pPr>
      <w:r>
        <w:t>Bliži s</w:t>
      </w:r>
      <w:r>
        <w:t>astav i na</w:t>
      </w:r>
      <w:r>
        <w:t>č</w:t>
      </w:r>
      <w:r>
        <w:t xml:space="preserve">in rada komisija, iz stava 1 ovog </w:t>
      </w:r>
      <w:r>
        <w:t>č</w:t>
      </w:r>
      <w:r>
        <w:t xml:space="preserve">lana, kao i period na koji se </w:t>
      </w:r>
      <w:r>
        <w:t>č</w:t>
      </w:r>
      <w:r>
        <w:t>lanovi komisije imenuju ure</w:t>
      </w:r>
      <w:r>
        <w:t>đ</w:t>
      </w:r>
      <w:r>
        <w:t>uje se aktom o obrazovanju.</w:t>
      </w:r>
    </w:p>
    <w:p w:rsidR="00000000" w:rsidRDefault="00A070BD">
      <w:pPr>
        <w:pStyle w:val="N01X"/>
      </w:pPr>
      <w:r>
        <w:t>Rad komisije</w:t>
      </w:r>
    </w:p>
    <w:p w:rsidR="00000000" w:rsidRDefault="00A070BD">
      <w:pPr>
        <w:pStyle w:val="C30X"/>
      </w:pPr>
      <w:r>
        <w:t>Č</w:t>
      </w:r>
      <w:r>
        <w:t>lan 25</w:t>
      </w:r>
    </w:p>
    <w:p w:rsidR="00000000" w:rsidRDefault="00A070BD">
      <w:pPr>
        <w:pStyle w:val="T30X"/>
      </w:pPr>
      <w:r>
        <w:t>Komisija radi i daje prijedlog u punom sastavu.</w:t>
      </w:r>
    </w:p>
    <w:p w:rsidR="00000000" w:rsidRDefault="00A070BD">
      <w:pPr>
        <w:pStyle w:val="T30X"/>
      </w:pPr>
      <w:r>
        <w:t>Komisija je samostalna u davanju prijedloga, odnosno m</w:t>
      </w:r>
      <w:r>
        <w:t>išljenja i za svoj rad odgovara organu koji ju je imenovao.</w:t>
      </w:r>
    </w:p>
    <w:p w:rsidR="00000000" w:rsidRDefault="00A070BD">
      <w:pPr>
        <w:pStyle w:val="T30X"/>
      </w:pPr>
      <w:r>
        <w:t>Bliži na</w:t>
      </w:r>
      <w:r>
        <w:t>č</w:t>
      </w:r>
      <w:r>
        <w:t>in rada komisije ure</w:t>
      </w:r>
      <w:r>
        <w:t>đ</w:t>
      </w:r>
      <w:r>
        <w:t>uje se poslovnikom o radu.</w:t>
      </w:r>
    </w:p>
    <w:p w:rsidR="00000000" w:rsidRDefault="00A070BD">
      <w:pPr>
        <w:pStyle w:val="N01X"/>
      </w:pPr>
      <w:r>
        <w:t xml:space="preserve">Razrješenje </w:t>
      </w:r>
      <w:r>
        <w:t>č</w:t>
      </w:r>
      <w:r>
        <w:t>lana</w:t>
      </w:r>
    </w:p>
    <w:p w:rsidR="00000000" w:rsidRDefault="00A070BD">
      <w:pPr>
        <w:pStyle w:val="C30X"/>
      </w:pPr>
      <w:r>
        <w:t>Č</w:t>
      </w:r>
      <w:r>
        <w:t>lan 26</w:t>
      </w:r>
    </w:p>
    <w:p w:rsidR="00000000" w:rsidRDefault="00A070BD">
      <w:pPr>
        <w:pStyle w:val="T30X"/>
      </w:pPr>
      <w:r>
        <w:t>Č</w:t>
      </w:r>
      <w:r>
        <w:t>lan komisije koji iz neopravdanih razloga odsustvuje u radu komisije, ili se ne odnosi u skladu sa pravilima svo</w:t>
      </w:r>
      <w:r>
        <w:t>je struke, na prijedlog predsjednika može biti razriješen.</w:t>
      </w:r>
    </w:p>
    <w:p w:rsidR="00000000" w:rsidRDefault="00A070BD">
      <w:pPr>
        <w:pStyle w:val="N01X"/>
      </w:pPr>
      <w:r>
        <w:t>Upu</w:t>
      </w:r>
      <w:r>
        <w:t>ć</w:t>
      </w:r>
      <w:r>
        <w:t>ivanje djeteta na ponovni postupak</w:t>
      </w:r>
    </w:p>
    <w:p w:rsidR="00000000" w:rsidRDefault="00A070BD">
      <w:pPr>
        <w:pStyle w:val="C30X"/>
      </w:pPr>
      <w:r>
        <w:t>Č</w:t>
      </w:r>
      <w:r>
        <w:t>lan 27</w:t>
      </w:r>
    </w:p>
    <w:p w:rsidR="00000000" w:rsidRDefault="00A070BD">
      <w:pPr>
        <w:pStyle w:val="T30X"/>
      </w:pPr>
      <w:r>
        <w:t>Ako poslije donošenja rješenja o usmjeravanju u odgovaraju</w:t>
      </w:r>
      <w:r>
        <w:t>ć</w:t>
      </w:r>
      <w:r>
        <w:t>i obrazovni program kod djeteta nastupe promjene u odnosu na posebnu obrazovnu potrebu (dos</w:t>
      </w:r>
      <w:r>
        <w:t>adašnji program nije odgovaraju</w:t>
      </w:r>
      <w:r>
        <w:t>ć</w:t>
      </w:r>
      <w:r>
        <w:t>i ili prestane potreba poha</w:t>
      </w:r>
      <w:r>
        <w:t>đ</w:t>
      </w:r>
      <w:r>
        <w:t>anja obrazovnog programa u koji je dijete bilo usmjereno), organ lokalne uprave nadležan za poslove prosvjete, sprovodi ponovni postupak.</w:t>
      </w:r>
    </w:p>
    <w:p w:rsidR="00000000" w:rsidRDefault="00A070BD">
      <w:pPr>
        <w:pStyle w:val="T30X"/>
      </w:pPr>
      <w:r>
        <w:lastRenderedPageBreak/>
        <w:t xml:space="preserve">Ako se u ponovljenom postupku utvrde promjene u odnosu na </w:t>
      </w:r>
      <w:r>
        <w:t>utvr</w:t>
      </w:r>
      <w:r>
        <w:t>đ</w:t>
      </w:r>
      <w:r>
        <w:t>enu posebnu obrazovnu potrebu, organ lokalne uprave nadležan za poslove prosvjete, na prijedlog prvostepene komisije donosi novo rješenje.</w:t>
      </w:r>
    </w:p>
    <w:p w:rsidR="00000000" w:rsidRDefault="00A070BD">
      <w:pPr>
        <w:pStyle w:val="T30X"/>
      </w:pPr>
      <w:r>
        <w:t>Ponovni postupak pokre</w:t>
      </w:r>
      <w:r>
        <w:t>ć</w:t>
      </w:r>
      <w:r>
        <w:t>e se na zahtjev roditelja ili ustanove u koju je dijete usmjereno.</w:t>
      </w:r>
    </w:p>
    <w:p w:rsidR="00000000" w:rsidRDefault="00A070BD">
      <w:pPr>
        <w:pStyle w:val="N01X"/>
      </w:pPr>
      <w:r>
        <w:t>Administrativno-tehni</w:t>
      </w:r>
      <w:r>
        <w:t>č</w:t>
      </w:r>
      <w:r>
        <w:t>ki poslovi</w:t>
      </w:r>
    </w:p>
    <w:p w:rsidR="00000000" w:rsidRDefault="00A070BD">
      <w:pPr>
        <w:pStyle w:val="C30X"/>
      </w:pPr>
      <w:r>
        <w:t>Č</w:t>
      </w:r>
      <w:r>
        <w:t>lan 28</w:t>
      </w:r>
    </w:p>
    <w:p w:rsidR="00000000" w:rsidRDefault="00A070BD">
      <w:pPr>
        <w:pStyle w:val="T30X"/>
      </w:pPr>
      <w:r>
        <w:t>Administrativno-tehni</w:t>
      </w:r>
      <w:r>
        <w:t>č</w:t>
      </w:r>
      <w:r>
        <w:t>ke poslove za potrebe komisije obavlja organ koji je komisiju imenovao.</w:t>
      </w:r>
    </w:p>
    <w:p w:rsidR="00000000" w:rsidRDefault="00A070BD">
      <w:pPr>
        <w:pStyle w:val="N01X"/>
      </w:pPr>
      <w:r>
        <w:t>Vo</w:t>
      </w:r>
      <w:r>
        <w:t>đ</w:t>
      </w:r>
      <w:r>
        <w:t>enje evidencije</w:t>
      </w:r>
    </w:p>
    <w:p w:rsidR="00000000" w:rsidRDefault="00A070BD">
      <w:pPr>
        <w:pStyle w:val="C30X"/>
      </w:pPr>
      <w:r>
        <w:t>Č</w:t>
      </w:r>
      <w:r>
        <w:t>lan 29</w:t>
      </w:r>
    </w:p>
    <w:p w:rsidR="00000000" w:rsidRDefault="00A070BD">
      <w:pPr>
        <w:pStyle w:val="T30X"/>
      </w:pPr>
      <w:r>
        <w:t>Organ lokalne uprave nadležan za poslove prosvjete vodi mati</w:t>
      </w:r>
      <w:r>
        <w:t>č</w:t>
      </w:r>
      <w:r>
        <w:t xml:space="preserve">nu evidenciju o svakom djetetu koja je data na Obrascu </w:t>
      </w:r>
      <w:r>
        <w:t xml:space="preserve">br. 3, koji </w:t>
      </w:r>
      <w:r>
        <w:t>č</w:t>
      </w:r>
      <w:r>
        <w:t>ini sastavni dio ovog pravilnika.</w:t>
      </w:r>
    </w:p>
    <w:p w:rsidR="00000000" w:rsidRDefault="00A070BD">
      <w:pPr>
        <w:pStyle w:val="T30X"/>
      </w:pPr>
      <w:r>
        <w:t>U slu</w:t>
      </w:r>
      <w:r>
        <w:t>č</w:t>
      </w:r>
      <w:r>
        <w:t>aju preseljenja djeteta, organ lokalne uprave nadležan za poslove prosvjete, po službenoj dužnosti, dostavlja cjelokupnu evidenciju sa dokumentacijom o usmjerenom djetetu nadležnom organu u mjestu novog prebivališta djeteta, koji nakon prijema dokumenata u</w:t>
      </w:r>
      <w:r>
        <w:t>pisuje dijete u svoju mati</w:t>
      </w:r>
      <w:r>
        <w:t>č</w:t>
      </w:r>
      <w:r>
        <w:t>nu evidenciju.</w:t>
      </w:r>
    </w:p>
    <w:p w:rsidR="00000000" w:rsidRDefault="00A070BD">
      <w:pPr>
        <w:pStyle w:val="N01X"/>
      </w:pPr>
      <w:r>
        <w:t>Prekid evidencije</w:t>
      </w:r>
    </w:p>
    <w:p w:rsidR="00000000" w:rsidRDefault="00A070BD">
      <w:pPr>
        <w:pStyle w:val="C30X"/>
      </w:pPr>
      <w:r>
        <w:t>Č</w:t>
      </w:r>
      <w:r>
        <w:t>lan 30</w:t>
      </w:r>
    </w:p>
    <w:p w:rsidR="00000000" w:rsidRDefault="00A070BD">
      <w:pPr>
        <w:pStyle w:val="T30X"/>
      </w:pPr>
      <w:r>
        <w:t>Kada djetetu nije više potrebno obrazovanje i vaspitanje po odre</w:t>
      </w:r>
      <w:r>
        <w:t>đ</w:t>
      </w:r>
      <w:r>
        <w:t>enom obrazovnom programu, organ lokalne uprave nadležan za poslove prosvjete prekida dalje vo</w:t>
      </w:r>
      <w:r>
        <w:t>đ</w:t>
      </w:r>
      <w:r>
        <w:t>enje evidencije o djetetu i t</w:t>
      </w:r>
      <w:r>
        <w:t>o upisuje u mati</w:t>
      </w:r>
      <w:r>
        <w:t>č</w:t>
      </w:r>
      <w:r>
        <w:t>nu evidenciju, sa napomenom u koji program nastavlja obrazovanje i vaspitanje, odnosno iz kojih razloga je došlo do prekida vo</w:t>
      </w:r>
      <w:r>
        <w:t>đ</w:t>
      </w:r>
      <w:r>
        <w:t>enja evidencije.</w:t>
      </w:r>
    </w:p>
    <w:p w:rsidR="00000000" w:rsidRDefault="00A070BD">
      <w:pPr>
        <w:pStyle w:val="N01X"/>
      </w:pPr>
      <w:r>
        <w:t>Troškovi rada komisija</w:t>
      </w:r>
    </w:p>
    <w:p w:rsidR="00000000" w:rsidRDefault="00A070BD">
      <w:pPr>
        <w:pStyle w:val="C30X"/>
      </w:pPr>
      <w:r>
        <w:t>Č</w:t>
      </w:r>
      <w:r>
        <w:t>lan 31</w:t>
      </w:r>
    </w:p>
    <w:p w:rsidR="00000000" w:rsidRDefault="00A070BD">
      <w:pPr>
        <w:pStyle w:val="T30X"/>
      </w:pPr>
      <w:r>
        <w:t>Troškovi rada komisije padaju na teret organa koji vodi postupak</w:t>
      </w:r>
      <w:r>
        <w:t>.</w:t>
      </w:r>
    </w:p>
    <w:p w:rsidR="00000000" w:rsidRDefault="00A070BD">
      <w:pPr>
        <w:pStyle w:val="N01X"/>
      </w:pPr>
      <w:r>
        <w:t>Prestanak važenja</w:t>
      </w:r>
    </w:p>
    <w:p w:rsidR="00000000" w:rsidRDefault="00A070BD">
      <w:pPr>
        <w:pStyle w:val="C30X"/>
      </w:pPr>
      <w:r>
        <w:t>Č</w:t>
      </w:r>
      <w:r>
        <w:t>lan 32</w:t>
      </w:r>
    </w:p>
    <w:p w:rsidR="00000000" w:rsidRDefault="00A070BD">
      <w:pPr>
        <w:pStyle w:val="T30X"/>
      </w:pPr>
      <w:r>
        <w:t>Stupanjem na snagu ovog pravilnika prestaje da važi Pravilnik o kriterijumima za odre</w:t>
      </w:r>
      <w:r>
        <w:t>đ</w:t>
      </w:r>
      <w:r>
        <w:t>ivanje oblika i stepena nedostataka, smetnje, odnosno poreme</w:t>
      </w:r>
      <w:r>
        <w:t>ć</w:t>
      </w:r>
      <w:r>
        <w:t>aja djece i mladih s posebnim potrebama i na</w:t>
      </w:r>
      <w:r>
        <w:t>č</w:t>
      </w:r>
      <w:r>
        <w:t>inu uklju</w:t>
      </w:r>
      <w:r>
        <w:t>č</w:t>
      </w:r>
      <w:r>
        <w:t>ivanja u obrazovne program</w:t>
      </w:r>
      <w:r>
        <w:t>e ("Službeni list RCG" broj 23/06).</w:t>
      </w:r>
    </w:p>
    <w:p w:rsidR="00000000" w:rsidRDefault="00A070BD">
      <w:pPr>
        <w:pStyle w:val="N01X"/>
      </w:pPr>
      <w:r>
        <w:t>Stupanje na snagu</w:t>
      </w:r>
    </w:p>
    <w:p w:rsidR="00000000" w:rsidRDefault="00A070BD">
      <w:pPr>
        <w:pStyle w:val="C30X"/>
      </w:pPr>
      <w:r>
        <w:t>Č</w:t>
      </w:r>
      <w:r>
        <w:t>lan 33</w:t>
      </w:r>
    </w:p>
    <w:p w:rsidR="00000000" w:rsidRDefault="00A070BD">
      <w:pPr>
        <w:pStyle w:val="T30X"/>
      </w:pPr>
      <w:r>
        <w:t>Ovaj pravilnik stupa na snagu osmog dana od dana objavljivanja u "Službenom listu Crne Gore".</w:t>
      </w:r>
    </w:p>
    <w:p w:rsidR="00000000" w:rsidRDefault="00A070BD">
      <w:pPr>
        <w:pStyle w:val="N01X"/>
      </w:pPr>
      <w:r>
        <w:t>Obrazac br. 1</w:t>
      </w:r>
    </w:p>
    <w:p w:rsidR="00000000" w:rsidRDefault="00674988">
      <w:pPr>
        <w:pStyle w:val="DefaultParagraphFont0"/>
        <w:widowControl w:val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6600825" cy="9334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933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070BD">
      <w:pPr>
        <w:pStyle w:val="N01X"/>
      </w:pPr>
      <w:r>
        <w:lastRenderedPageBreak/>
        <w:t>Obrazac br. 2.</w:t>
      </w:r>
    </w:p>
    <w:p w:rsidR="00000000" w:rsidRDefault="00674988">
      <w:pPr>
        <w:pStyle w:val="DefaultParagraphFont0"/>
        <w:widowControl w:val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6600825" cy="58197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58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070BD">
      <w:pPr>
        <w:pStyle w:val="N01X"/>
      </w:pPr>
      <w:r>
        <w:t>Obrazac br. 3</w:t>
      </w:r>
    </w:p>
    <w:p w:rsidR="00A070BD" w:rsidRDefault="00674988">
      <w:pPr>
        <w:pStyle w:val="DefaultParagraphFont0"/>
        <w:widowControl w:val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6657975" cy="9163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916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70B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0BD" w:rsidRDefault="00A070BD">
      <w:r>
        <w:separator/>
      </w:r>
    </w:p>
  </w:endnote>
  <w:endnote w:type="continuationSeparator" w:id="0">
    <w:p w:rsidR="00A070BD" w:rsidRDefault="00A07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A070BD">
          <w:pPr>
            <w:pStyle w:val="Fotter"/>
          </w:pPr>
          <w:hyperlink w:anchor="http___www_katalogpropisa_me" w:history="1">
            <w:r>
              <w:rPr>
                <w:rStyle w:val="Hyperlink"/>
              </w:rPr>
              <w:t>Pravni ekspert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A070BD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674988">
            <w:rPr>
              <w:noProof/>
            </w:rPr>
            <w:t>2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A070BD">
          <w:pPr>
            <w:pStyle w:val="Fotter"/>
          </w:pPr>
          <w:hyperlink w:anchor="http___www_katalogpropisa_me" w:history="1">
            <w:r>
              <w:rPr>
                <w:rStyle w:val="Hyperlink"/>
              </w:rPr>
              <w:t>Pravni ekspert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A070BD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674988">
            <w:rPr>
              <w:noProof/>
            </w:rP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0BD" w:rsidRDefault="00A070BD">
      <w:r>
        <w:separator/>
      </w:r>
    </w:p>
  </w:footnote>
  <w:footnote w:type="continuationSeparator" w:id="0">
    <w:p w:rsidR="00A070BD" w:rsidRDefault="00A07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70BD">
    <w:pPr>
      <w:pStyle w:val="Header"/>
    </w:pPr>
    <w:r>
      <w:t>Katalog propisa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70BD">
    <w:pPr>
      <w:pStyle w:val="Header"/>
    </w:pPr>
    <w:r>
      <w:t>Katalog propisa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988"/>
    <w:rsid w:val="00674988"/>
    <w:rsid w:val="00A0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9C7701D-CCEA-41D2-8035-09672B550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2512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</vt:lpstr>
    </vt:vector>
  </TitlesOfParts>
  <Company/>
  <LinksUpToDate>false</LinksUpToDate>
  <CharactersWithSpaces>16798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</dc:title>
  <dc:subject></dc:subject>
  <dc:creator></dc:creator>
  <cp:keywords/>
  <dc:description/>
  <cp:lastModifiedBy>Dejana Mugoša</cp:lastModifiedBy>
  <cp:revision>2</cp:revision>
  <dcterms:created xsi:type="dcterms:W3CDTF">2025-10-13T10:50:00Z</dcterms:created>
  <dcterms:modified xsi:type="dcterms:W3CDTF">2025-10-13T10:50:00Z</dcterms:modified>
</cp:coreProperties>
</file>