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9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D13590">
        <w:rPr>
          <w:rFonts w:ascii="Arial" w:hAnsi="Arial" w:cs="Arial"/>
          <w:sz w:val="22"/>
          <w:szCs w:val="22"/>
        </w:rPr>
        <w:t>sekretara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1F3AF5">
        <w:rPr>
          <w:rFonts w:ascii="Arial" w:hAnsi="Arial" w:cs="Arial"/>
          <w:sz w:val="22"/>
          <w:szCs w:val="22"/>
        </w:rPr>
        <w:t>Sekretarijata za komunal</w:t>
      </w:r>
      <w:r w:rsidR="00D13590">
        <w:rPr>
          <w:rFonts w:ascii="Arial" w:hAnsi="Arial" w:cs="Arial"/>
          <w:sz w:val="22"/>
          <w:szCs w:val="22"/>
        </w:rPr>
        <w:t>ne poslove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C1517">
        <w:rPr>
          <w:rFonts w:ascii="Arial" w:hAnsi="Arial" w:cs="Arial"/>
          <w:sz w:val="22"/>
          <w:szCs w:val="22"/>
        </w:rPr>
        <w:t xml:space="preserve">Šef/ica </w:t>
      </w:r>
      <w:r w:rsidR="00D13590">
        <w:rPr>
          <w:rFonts w:ascii="Arial" w:hAnsi="Arial" w:cs="Arial"/>
          <w:sz w:val="22"/>
          <w:szCs w:val="22"/>
        </w:rPr>
        <w:t>Odjeljenja za upravno pravne poslove</w:t>
      </w:r>
      <w:r w:rsidR="002425B3">
        <w:rPr>
          <w:rFonts w:ascii="Arial" w:hAnsi="Arial" w:cs="Arial"/>
          <w:sz w:val="22"/>
          <w:szCs w:val="22"/>
        </w:rPr>
        <w:t xml:space="preserve"> u komunalnoj oblasti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2425B3">
        <w:rPr>
          <w:rFonts w:ascii="Arial" w:hAnsi="Arial" w:cs="Arial"/>
          <w:sz w:val="22"/>
          <w:szCs w:val="22"/>
        </w:rPr>
        <w:t xml:space="preserve"> </w:t>
      </w:r>
      <w:r w:rsidR="00D13590">
        <w:rPr>
          <w:rFonts w:ascii="Arial" w:hAnsi="Arial" w:cs="Arial"/>
          <w:sz w:val="22"/>
          <w:szCs w:val="22"/>
        </w:rPr>
        <w:t>04-D1</w:t>
      </w:r>
      <w:r w:rsidR="005C1517">
        <w:rPr>
          <w:rFonts w:ascii="Arial" w:hAnsi="Arial" w:cs="Arial"/>
          <w:sz w:val="22"/>
          <w:szCs w:val="22"/>
        </w:rPr>
        <w:t>-100/24-167</w:t>
      </w:r>
      <w:r w:rsidR="00D13590">
        <w:rPr>
          <w:rFonts w:ascii="Arial" w:hAnsi="Arial" w:cs="Arial"/>
          <w:sz w:val="22"/>
          <w:szCs w:val="22"/>
        </w:rPr>
        <w:t>1/1 od 12.06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D13590">
        <w:rPr>
          <w:rFonts w:ascii="Arial" w:hAnsi="Arial" w:cs="Arial"/>
          <w:sz w:val="22"/>
          <w:szCs w:val="22"/>
        </w:rPr>
        <w:t xml:space="preserve">Sekretarijatu za komunalne poslove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C151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Šef/ica O</w:t>
      </w:r>
      <w:r w:rsidR="00D13590">
        <w:rPr>
          <w:rFonts w:ascii="Arial" w:hAnsi="Arial" w:cs="Arial"/>
          <w:b/>
          <w:sz w:val="22"/>
          <w:szCs w:val="22"/>
        </w:rPr>
        <w:t>djeljenja za upravno pravne poslove u komunalnoj oblasti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BB6ACE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</w:t>
      </w:r>
      <w:r w:rsidR="006E6F97">
        <w:rPr>
          <w:rFonts w:ascii="Arial" w:eastAsia="Verdana" w:hAnsi="Arial" w:cs="Arial"/>
          <w:sz w:val="22"/>
          <w:szCs w:val="22"/>
        </w:rPr>
        <w:t xml:space="preserve">asti </w:t>
      </w:r>
      <w:r w:rsidR="00D13590">
        <w:rPr>
          <w:rFonts w:ascii="Arial" w:eastAsia="Verdana" w:hAnsi="Arial" w:cs="Arial"/>
          <w:sz w:val="22"/>
          <w:szCs w:val="22"/>
        </w:rPr>
        <w:t>društvenih nauka;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32016C">
        <w:rPr>
          <w:rFonts w:ascii="Arial" w:hAnsi="Arial" w:cs="Arial"/>
          <w:sz w:val="22"/>
          <w:szCs w:val="22"/>
        </w:rPr>
        <w:t>pet godina</w:t>
      </w:r>
      <w:r w:rsidR="006336FB">
        <w:rPr>
          <w:rFonts w:ascii="Arial" w:hAnsi="Arial" w:cs="Arial"/>
          <w:sz w:val="22"/>
          <w:szCs w:val="22"/>
        </w:rPr>
        <w:t xml:space="preserve">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D13590" w:rsidRPr="00104DFC" w:rsidRDefault="002A5D00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D13590" w:rsidRPr="00104DFC">
        <w:rPr>
          <w:rFonts w:ascii="Arial" w:hAnsi="Arial" w:cs="Arial"/>
          <w:sz w:val="22"/>
          <w:szCs w:val="22"/>
        </w:rPr>
        <w:t xml:space="preserve">Zakon o upravnom postupku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D13590" w:rsidRPr="00104DFC">
        <w:rPr>
          <w:rFonts w:ascii="Arial" w:hAnsi="Arial" w:cs="Arial"/>
          <w:sz w:val="22"/>
          <w:szCs w:val="22"/>
        </w:rPr>
        <w:t>,</w:t>
      </w:r>
      <w:r w:rsidR="00D13590">
        <w:rPr>
          <w:rFonts w:ascii="Arial" w:hAnsi="Arial" w:cs="Arial"/>
          <w:sz w:val="22"/>
          <w:szCs w:val="22"/>
        </w:rPr>
        <w:t xml:space="preserve"> </w:t>
      </w:r>
      <w:r w:rsidR="00D13590" w:rsidRPr="00104DFC">
        <w:rPr>
          <w:rFonts w:ascii="Arial" w:hAnsi="Arial" w:cs="Arial"/>
          <w:sz w:val="22"/>
          <w:szCs w:val="22"/>
        </w:rPr>
        <w:t>Odluka o organizaciji i načinu rada uprave Glavnog grada (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D13590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D13590" w:rsidRPr="00104DFC">
        <w:rPr>
          <w:rFonts w:ascii="Arial" w:hAnsi="Arial" w:cs="Arial"/>
          <w:sz w:val="22"/>
          <w:szCs w:val="22"/>
        </w:rPr>
        <w:t>)</w:t>
      </w:r>
      <w:r w:rsidR="00D13590">
        <w:rPr>
          <w:rFonts w:ascii="Tahoma" w:hAnsi="Tahoma" w:cs="Tahoma"/>
          <w:sz w:val="22"/>
          <w:szCs w:val="22"/>
        </w:rPr>
        <w:t xml:space="preserve">, Zakon o planiranju prostora i izgradnji objekata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D13590">
        <w:rPr>
          <w:rFonts w:ascii="Arial" w:hAnsi="Arial" w:cs="Arial"/>
          <w:sz w:val="22"/>
          <w:szCs w:val="22"/>
          <w:lang w:val="sr-Latn-CS" w:eastAsia="sr-Latn-CS"/>
        </w:rPr>
        <w:t xml:space="preserve"> 64/178, 454/18, 63/18, 11/19, 82/20, 36/21, 05/22, 30/23, 42/23), Uredba o načinu označavanja naselja, ulica, trgova i zgrada i sadržaju i načinu vođenja evidencije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</w:t>
      </w:r>
      <w:r w:rsidR="00D13590" w:rsidRPr="00D1359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13590" w:rsidRPr="00104DFC">
        <w:rPr>
          <w:rFonts w:ascii="Arial" w:hAnsi="Arial" w:cs="Arial"/>
          <w:sz w:val="22"/>
          <w:szCs w:val="22"/>
          <w:lang w:val="sr-Latn-CS" w:eastAsia="sr-Latn-CS"/>
        </w:rPr>
        <w:t>broj</w:t>
      </w:r>
      <w:r w:rsidR="00D13590">
        <w:rPr>
          <w:rFonts w:ascii="Arial" w:hAnsi="Arial" w:cs="Arial"/>
          <w:sz w:val="22"/>
          <w:szCs w:val="22"/>
          <w:lang w:val="sr-Latn-CS" w:eastAsia="sr-Latn-CS"/>
        </w:rPr>
        <w:t xml:space="preserve"> 06/12 i 65/16), Pravilnik o bližim uslovima za postavljanje, odnosno građenje privremenih objekata</w:t>
      </w:r>
      <w:r w:rsidR="00E0347D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uređaja i opreme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 43/18, 76/18, 76/19 i 09/24), Odluka o donošenju Programa privremenih objekata na teritoriji Glavnog grada Podgorice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opštinski propisi“ 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>broj</w:t>
      </w:r>
      <w:r w:rsidR="003C137F">
        <w:rPr>
          <w:rFonts w:ascii="Arial" w:hAnsi="Arial" w:cs="Arial"/>
          <w:sz w:val="22"/>
          <w:szCs w:val="22"/>
          <w:lang w:val="sr-Latn-CS" w:eastAsia="sr-Latn-CS"/>
        </w:rPr>
        <w:t xml:space="preserve"> 39/20) sa Programom postavljanja privremenih objekata na teritoriji Glavnog grada Podgorica, Odluka o komunalnom redu </w:t>
      </w:r>
      <w:r w:rsidR="003C137F" w:rsidRPr="00104DFC">
        <w:rPr>
          <w:rFonts w:ascii="Arial" w:hAnsi="Arial" w:cs="Arial"/>
          <w:sz w:val="22"/>
          <w:szCs w:val="22"/>
        </w:rPr>
        <w:t>(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3C137F" w:rsidRPr="00104DFC">
        <w:rPr>
          <w:rFonts w:ascii="Arial" w:hAnsi="Arial" w:cs="Arial"/>
          <w:sz w:val="22"/>
          <w:szCs w:val="22"/>
        </w:rPr>
        <w:t>opštinski propisi”, broj</w:t>
      </w:r>
      <w:r w:rsidR="003C137F">
        <w:rPr>
          <w:rFonts w:ascii="Arial" w:hAnsi="Arial" w:cs="Arial"/>
          <w:sz w:val="22"/>
          <w:szCs w:val="22"/>
        </w:rPr>
        <w:t xml:space="preserve"> 29/20 i 07/21) i Odluka o uređivanj</w:t>
      </w:r>
      <w:r w:rsidR="00E0347D">
        <w:rPr>
          <w:rFonts w:ascii="Arial" w:hAnsi="Arial" w:cs="Arial"/>
          <w:sz w:val="22"/>
          <w:szCs w:val="22"/>
        </w:rPr>
        <w:t>u i održavanju zelenih površina</w:t>
      </w:r>
      <w:r w:rsidR="003C137F">
        <w:rPr>
          <w:rFonts w:ascii="Arial" w:hAnsi="Arial" w:cs="Arial"/>
          <w:sz w:val="22"/>
          <w:szCs w:val="22"/>
        </w:rPr>
        <w:t xml:space="preserve"> </w:t>
      </w:r>
      <w:r w:rsidR="003C137F" w:rsidRPr="00104DFC">
        <w:rPr>
          <w:rFonts w:ascii="Arial" w:hAnsi="Arial" w:cs="Arial"/>
          <w:sz w:val="22"/>
          <w:szCs w:val="22"/>
        </w:rPr>
        <w:t>(</w:t>
      </w:r>
      <w:r w:rsidR="003C137F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3C137F" w:rsidRPr="00104DFC">
        <w:rPr>
          <w:rFonts w:ascii="Arial" w:hAnsi="Arial" w:cs="Arial"/>
          <w:sz w:val="22"/>
          <w:szCs w:val="22"/>
        </w:rPr>
        <w:t>opštinski propisi”, broj</w:t>
      </w:r>
      <w:r w:rsidR="00E0347D">
        <w:rPr>
          <w:rFonts w:ascii="Arial" w:hAnsi="Arial" w:cs="Arial"/>
          <w:sz w:val="22"/>
          <w:szCs w:val="22"/>
        </w:rPr>
        <w:t xml:space="preserve"> 9/09, 40/15 i</w:t>
      </w:r>
      <w:r w:rsidR="003C137F">
        <w:rPr>
          <w:rFonts w:ascii="Arial" w:hAnsi="Arial" w:cs="Arial"/>
          <w:sz w:val="22"/>
          <w:szCs w:val="22"/>
        </w:rPr>
        <w:t xml:space="preserve"> 34/16).</w:t>
      </w:r>
    </w:p>
    <w:p w:rsidR="00C77F18" w:rsidRPr="00C3249E" w:rsidRDefault="00C77F18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E765C9" w:rsidRPr="003C137F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3C137F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E2" w:rsidRDefault="00C427E2" w:rsidP="00890D4F">
      <w:r>
        <w:separator/>
      </w:r>
    </w:p>
  </w:endnote>
  <w:endnote w:type="continuationSeparator" w:id="1">
    <w:p w:rsidR="00C427E2" w:rsidRDefault="00C427E2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E2" w:rsidRDefault="00C427E2" w:rsidP="00890D4F">
      <w:r>
        <w:separator/>
      </w:r>
    </w:p>
  </w:footnote>
  <w:footnote w:type="continuationSeparator" w:id="1">
    <w:p w:rsidR="00C427E2" w:rsidRDefault="00C427E2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63D5F"/>
    <w:rsid w:val="000947B7"/>
    <w:rsid w:val="000B3E44"/>
    <w:rsid w:val="000D3D4F"/>
    <w:rsid w:val="000D7FDA"/>
    <w:rsid w:val="00121D9F"/>
    <w:rsid w:val="0015778D"/>
    <w:rsid w:val="00177C3E"/>
    <w:rsid w:val="001A3612"/>
    <w:rsid w:val="001D1869"/>
    <w:rsid w:val="001F39F6"/>
    <w:rsid w:val="001F3AF5"/>
    <w:rsid w:val="002425B3"/>
    <w:rsid w:val="00275E29"/>
    <w:rsid w:val="002A2A43"/>
    <w:rsid w:val="002A5D00"/>
    <w:rsid w:val="002B64E2"/>
    <w:rsid w:val="002E6413"/>
    <w:rsid w:val="002F55F7"/>
    <w:rsid w:val="003058A7"/>
    <w:rsid w:val="0032016C"/>
    <w:rsid w:val="00342977"/>
    <w:rsid w:val="00343EBB"/>
    <w:rsid w:val="00395EA0"/>
    <w:rsid w:val="003A4C1C"/>
    <w:rsid w:val="003A6604"/>
    <w:rsid w:val="003C137F"/>
    <w:rsid w:val="003D7769"/>
    <w:rsid w:val="004116B8"/>
    <w:rsid w:val="004118F2"/>
    <w:rsid w:val="00434537"/>
    <w:rsid w:val="00473683"/>
    <w:rsid w:val="00486B4C"/>
    <w:rsid w:val="004B2CA5"/>
    <w:rsid w:val="004B41B7"/>
    <w:rsid w:val="004B5896"/>
    <w:rsid w:val="004B698D"/>
    <w:rsid w:val="004F2EAD"/>
    <w:rsid w:val="005100A0"/>
    <w:rsid w:val="00525E29"/>
    <w:rsid w:val="00535DEF"/>
    <w:rsid w:val="00540EE6"/>
    <w:rsid w:val="00584816"/>
    <w:rsid w:val="005861C9"/>
    <w:rsid w:val="005923F2"/>
    <w:rsid w:val="005C1517"/>
    <w:rsid w:val="005D35F3"/>
    <w:rsid w:val="005E35E7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6E655E"/>
    <w:rsid w:val="006E6F97"/>
    <w:rsid w:val="007000DA"/>
    <w:rsid w:val="00723E6D"/>
    <w:rsid w:val="00784FBC"/>
    <w:rsid w:val="00785009"/>
    <w:rsid w:val="007E59C0"/>
    <w:rsid w:val="00802A24"/>
    <w:rsid w:val="00807658"/>
    <w:rsid w:val="00817D4C"/>
    <w:rsid w:val="008203DC"/>
    <w:rsid w:val="00835D2D"/>
    <w:rsid w:val="00855D95"/>
    <w:rsid w:val="00863D62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0E"/>
    <w:rsid w:val="00BC0E65"/>
    <w:rsid w:val="00BD3DC0"/>
    <w:rsid w:val="00BE517F"/>
    <w:rsid w:val="00BF3E9E"/>
    <w:rsid w:val="00C24DEB"/>
    <w:rsid w:val="00C25B06"/>
    <w:rsid w:val="00C3249E"/>
    <w:rsid w:val="00C427E2"/>
    <w:rsid w:val="00C56BC5"/>
    <w:rsid w:val="00C77F18"/>
    <w:rsid w:val="00C93554"/>
    <w:rsid w:val="00C973D5"/>
    <w:rsid w:val="00CE74F4"/>
    <w:rsid w:val="00CF5796"/>
    <w:rsid w:val="00D0005C"/>
    <w:rsid w:val="00D03FBD"/>
    <w:rsid w:val="00D13590"/>
    <w:rsid w:val="00D2339E"/>
    <w:rsid w:val="00D3174F"/>
    <w:rsid w:val="00D439A8"/>
    <w:rsid w:val="00D65E12"/>
    <w:rsid w:val="00D93C57"/>
    <w:rsid w:val="00DB33F3"/>
    <w:rsid w:val="00DE68E4"/>
    <w:rsid w:val="00E0347D"/>
    <w:rsid w:val="00E10128"/>
    <w:rsid w:val="00E62B3B"/>
    <w:rsid w:val="00E67181"/>
    <w:rsid w:val="00E765C9"/>
    <w:rsid w:val="00E94784"/>
    <w:rsid w:val="00EA0435"/>
    <w:rsid w:val="00EA7694"/>
    <w:rsid w:val="00EA7EE9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94F0B"/>
    <w:rsid w:val="00FA2971"/>
    <w:rsid w:val="00FA6123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2024-06-20T12:39:00Z</dcterms:created>
  <dcterms:modified xsi:type="dcterms:W3CDTF">2024-06-20T12:39:00Z</dcterms:modified>
</cp:coreProperties>
</file>